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D3" w:rsidRDefault="003C40D3" w:rsidP="003C40D3">
      <w:pPr>
        <w:pStyle w:val="2"/>
        <w:jc w:val="both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包2</w:t>
      </w:r>
      <w:r>
        <w:rPr>
          <w:rFonts w:ascii="仿宋" w:eastAsia="仿宋" w:hAnsi="仿宋" w:hint="eastAsia"/>
          <w:spacing w:val="2"/>
        </w:rPr>
        <w:t>：备</w:t>
      </w:r>
      <w:r>
        <w:rPr>
          <w:rFonts w:ascii="仿宋" w:eastAsia="仿宋" w:hAnsi="仿宋" w:hint="eastAsia"/>
        </w:rPr>
        <w:t>线路</w:t>
      </w:r>
      <w:r>
        <w:rPr>
          <w:rFonts w:ascii="仿宋" w:eastAsia="仿宋" w:hAnsi="仿宋" w:hint="eastAsia"/>
          <w:spacing w:val="1"/>
        </w:rPr>
        <w:t>部</w:t>
      </w:r>
      <w:r>
        <w:rPr>
          <w:rFonts w:ascii="仿宋" w:eastAsia="仿宋" w:hAnsi="仿宋" w:hint="eastAsia"/>
          <w:spacing w:val="-2"/>
        </w:rPr>
        <w:t>分</w:t>
      </w:r>
      <w:r>
        <w:rPr>
          <w:rFonts w:ascii="仿宋" w:eastAsia="仿宋" w:hAnsi="仿宋" w:hint="eastAsia"/>
          <w:spacing w:val="2"/>
        </w:rPr>
        <w:t>项</w:t>
      </w:r>
      <w:r>
        <w:rPr>
          <w:rFonts w:ascii="仿宋" w:eastAsia="仿宋" w:hAnsi="仿宋" w:hint="eastAsia"/>
        </w:rPr>
        <w:t>目</w:t>
      </w:r>
      <w:r>
        <w:rPr>
          <w:rFonts w:ascii="仿宋" w:eastAsia="仿宋" w:hAnsi="仿宋" w:hint="eastAsia"/>
          <w:spacing w:val="2"/>
        </w:rPr>
        <w:t>需</w:t>
      </w:r>
      <w:r>
        <w:rPr>
          <w:rFonts w:ascii="仿宋" w:eastAsia="仿宋" w:hAnsi="仿宋" w:hint="eastAsia"/>
        </w:rPr>
        <w:t>求</w:t>
      </w:r>
      <w:r>
        <w:rPr>
          <w:rFonts w:ascii="仿宋" w:eastAsia="仿宋" w:hAnsi="仿宋" w:hint="eastAsia"/>
          <w:spacing w:val="2"/>
        </w:rPr>
        <w:t>及</w:t>
      </w:r>
      <w:r>
        <w:rPr>
          <w:rFonts w:ascii="仿宋" w:eastAsia="仿宋" w:hAnsi="仿宋" w:hint="eastAsia"/>
        </w:rPr>
        <w:t>技术</w:t>
      </w:r>
      <w:r>
        <w:rPr>
          <w:rFonts w:ascii="仿宋" w:eastAsia="仿宋" w:hAnsi="仿宋" w:hint="eastAsia"/>
          <w:spacing w:val="2"/>
        </w:rPr>
        <w:t>要</w:t>
      </w:r>
      <w:r>
        <w:rPr>
          <w:rFonts w:ascii="仿宋" w:eastAsia="仿宋" w:hAnsi="仿宋" w:hint="eastAsia"/>
        </w:rPr>
        <w:t>求</w:t>
      </w:r>
    </w:p>
    <w:p w:rsidR="003C40D3" w:rsidRDefault="003C40D3" w:rsidP="003C40D3">
      <w:pPr>
        <w:autoSpaceDE w:val="0"/>
        <w:autoSpaceDN w:val="0"/>
        <w:adjustRightInd w:val="0"/>
        <w:spacing w:before="19" w:line="260" w:lineRule="exact"/>
        <w:ind w:right="-20"/>
        <w:jc w:val="left"/>
        <w:rPr>
          <w:rFonts w:ascii="仿宋" w:eastAsia="仿宋" w:hAnsi="仿宋" w:cs="宋体"/>
          <w:kern w:val="0"/>
          <w:sz w:val="26"/>
          <w:szCs w:val="26"/>
        </w:rPr>
      </w:pPr>
    </w:p>
    <w:p w:rsidR="003C40D3" w:rsidRDefault="003C40D3" w:rsidP="003C40D3">
      <w:pPr>
        <w:autoSpaceDE w:val="0"/>
        <w:autoSpaceDN w:val="0"/>
        <w:adjustRightInd w:val="0"/>
        <w:ind w:left="533" w:right="-20"/>
        <w:jc w:val="left"/>
        <w:rPr>
          <w:rFonts w:ascii="仿宋" w:eastAsia="仿宋" w:hAnsi="仿宋" w:cs="宋体"/>
          <w:kern w:val="0"/>
          <w:szCs w:val="21"/>
        </w:rPr>
      </w:pPr>
      <w:r>
        <w:rPr>
          <w:rFonts w:ascii="仿宋" w:eastAsia="仿宋" w:hAnsi="仿宋" w:cs="宋体" w:hint="eastAsia"/>
          <w:kern w:val="0"/>
          <w:szCs w:val="21"/>
        </w:rPr>
        <w:t>1、项目需求一览表</w:t>
      </w:r>
    </w:p>
    <w:p w:rsidR="003C40D3" w:rsidRDefault="003C40D3" w:rsidP="003C40D3">
      <w:pPr>
        <w:autoSpaceDE w:val="0"/>
        <w:autoSpaceDN w:val="0"/>
        <w:adjustRightInd w:val="0"/>
        <w:spacing w:before="9" w:line="160" w:lineRule="exact"/>
        <w:ind w:right="-20"/>
        <w:jc w:val="left"/>
        <w:rPr>
          <w:rFonts w:ascii="仿宋" w:eastAsia="仿宋" w:hAnsi="仿宋" w:cs="宋体"/>
          <w:kern w:val="0"/>
          <w:sz w:val="16"/>
          <w:szCs w:val="16"/>
        </w:rPr>
      </w:pPr>
    </w:p>
    <w:tbl>
      <w:tblPr>
        <w:tblW w:w="5340" w:type="dxa"/>
        <w:tblInd w:w="1617" w:type="dxa"/>
        <w:tblLook w:val="04A0"/>
      </w:tblPr>
      <w:tblGrid>
        <w:gridCol w:w="759"/>
        <w:gridCol w:w="2942"/>
        <w:gridCol w:w="850"/>
        <w:gridCol w:w="789"/>
      </w:tblGrid>
      <w:tr w:rsidR="003C40D3" w:rsidTr="008A0604">
        <w:trPr>
          <w:trHeight w:val="600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191F25"/>
                <w:kern w:val="0"/>
                <w:szCs w:val="21"/>
                <w:shd w:val="clear" w:color="auto" w:fill="FFFFFF"/>
              </w:rPr>
              <w:t>序号</w:t>
            </w:r>
          </w:p>
        </w:tc>
        <w:tc>
          <w:tcPr>
            <w:tcW w:w="29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191F25"/>
                <w:kern w:val="0"/>
                <w:szCs w:val="21"/>
                <w:shd w:val="clear" w:color="auto" w:fill="FFFFFF"/>
              </w:rPr>
              <w:t xml:space="preserve">           名称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191F25"/>
                <w:kern w:val="0"/>
                <w:szCs w:val="21"/>
                <w:shd w:val="clear" w:color="auto" w:fill="FFFFFF"/>
              </w:rPr>
              <w:t>单位</w:t>
            </w:r>
          </w:p>
        </w:tc>
        <w:tc>
          <w:tcPr>
            <w:tcW w:w="7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191F25"/>
                <w:kern w:val="0"/>
                <w:szCs w:val="21"/>
                <w:shd w:val="clear" w:color="auto" w:fill="FFFFFF"/>
              </w:rPr>
              <w:t>数量</w:t>
            </w:r>
          </w:p>
        </w:tc>
      </w:tr>
      <w:tr w:rsidR="003C40D3" w:rsidTr="008A0604">
        <w:trPr>
          <w:trHeight w:val="436"/>
        </w:trPr>
        <w:tc>
          <w:tcPr>
            <w:tcW w:w="7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191F25"/>
                <w:kern w:val="0"/>
                <w:szCs w:val="21"/>
                <w:shd w:val="clear" w:color="auto" w:fill="FFFFFF"/>
              </w:rPr>
              <w:t>1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191F25"/>
                <w:kern w:val="0"/>
                <w:szCs w:val="21"/>
                <w:shd w:val="clear" w:color="auto" w:fill="FFFFFF"/>
              </w:rPr>
              <w:t>MSTP/PTN/UTN 数据专线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191F25"/>
                <w:kern w:val="0"/>
                <w:szCs w:val="21"/>
                <w:shd w:val="clear" w:color="auto" w:fill="FFFFFF"/>
              </w:rPr>
              <w:t>条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191F25"/>
                <w:kern w:val="0"/>
                <w:szCs w:val="21"/>
                <w:shd w:val="clear" w:color="auto" w:fill="FFFFFF"/>
              </w:rPr>
              <w:t>21</w:t>
            </w:r>
          </w:p>
        </w:tc>
      </w:tr>
      <w:tr w:rsidR="003C40D3" w:rsidTr="008A0604">
        <w:trPr>
          <w:trHeight w:val="415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191F25"/>
                <w:kern w:val="0"/>
                <w:szCs w:val="21"/>
                <w:shd w:val="clear" w:color="auto" w:fill="FFFFFF"/>
              </w:rPr>
              <w:t>2</w:t>
            </w:r>
          </w:p>
        </w:tc>
        <w:tc>
          <w:tcPr>
            <w:tcW w:w="29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191F25"/>
                <w:kern w:val="0"/>
                <w:szCs w:val="21"/>
                <w:shd w:val="clear" w:color="auto" w:fill="FFFFFF"/>
              </w:rPr>
              <w:t>MSTP/PTN/UTN 视频专线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191F25"/>
                <w:kern w:val="0"/>
                <w:szCs w:val="21"/>
                <w:shd w:val="clear" w:color="auto" w:fill="FFFFFF"/>
              </w:rPr>
              <w:t>条</w:t>
            </w:r>
          </w:p>
        </w:tc>
        <w:tc>
          <w:tcPr>
            <w:tcW w:w="7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191F25"/>
                <w:kern w:val="0"/>
                <w:szCs w:val="21"/>
                <w:shd w:val="clear" w:color="auto" w:fill="FFFFFF"/>
              </w:rPr>
              <w:t>20</w:t>
            </w:r>
          </w:p>
        </w:tc>
      </w:tr>
      <w:tr w:rsidR="003C40D3" w:rsidTr="008A0604">
        <w:trPr>
          <w:trHeight w:val="407"/>
        </w:trPr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191F25"/>
                <w:kern w:val="0"/>
                <w:szCs w:val="21"/>
                <w:shd w:val="clear" w:color="auto" w:fill="FFFFFF"/>
              </w:rPr>
              <w:t>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191F25"/>
                <w:kern w:val="0"/>
                <w:szCs w:val="21"/>
                <w:shd w:val="clear" w:color="auto" w:fill="FFFFFF"/>
              </w:rPr>
              <w:t>省院汇聚下联路由器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191F25"/>
                <w:kern w:val="0"/>
                <w:szCs w:val="21"/>
                <w:shd w:val="clear" w:color="auto" w:fill="FFFFFF"/>
              </w:rPr>
              <w:t>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191F25"/>
                <w:kern w:val="0"/>
                <w:szCs w:val="21"/>
                <w:shd w:val="clear" w:color="auto" w:fill="FFFFFF"/>
              </w:rPr>
              <w:t>2</w:t>
            </w:r>
          </w:p>
        </w:tc>
      </w:tr>
      <w:tr w:rsidR="003C40D3" w:rsidTr="008A0604">
        <w:trPr>
          <w:trHeight w:val="399"/>
        </w:trPr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191F25"/>
                <w:kern w:val="0"/>
                <w:szCs w:val="21"/>
                <w:shd w:val="clear" w:color="auto" w:fill="FFFFFF"/>
              </w:rPr>
              <w:t>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191F25"/>
                <w:kern w:val="0"/>
                <w:szCs w:val="21"/>
                <w:shd w:val="clear" w:color="auto" w:fill="FFFFFF"/>
              </w:rPr>
              <w:t>地市分院上联路由器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191F25"/>
                <w:kern w:val="0"/>
                <w:szCs w:val="21"/>
                <w:shd w:val="clear" w:color="auto" w:fill="FFFFFF"/>
              </w:rPr>
              <w:t>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191F25"/>
                <w:kern w:val="0"/>
                <w:szCs w:val="21"/>
                <w:shd w:val="clear" w:color="auto" w:fill="FFFFFF"/>
              </w:rPr>
              <w:t>4</w:t>
            </w:r>
          </w:p>
        </w:tc>
      </w:tr>
      <w:tr w:rsidR="003C40D3" w:rsidTr="008A0604">
        <w:trPr>
          <w:trHeight w:val="399"/>
        </w:trPr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191F25"/>
                <w:kern w:val="0"/>
                <w:szCs w:val="21"/>
                <w:shd w:val="clear" w:color="auto" w:fill="FFFFFF"/>
              </w:rPr>
              <w:t>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191F25"/>
                <w:kern w:val="0"/>
                <w:szCs w:val="21"/>
                <w:shd w:val="clear" w:color="auto" w:fill="FFFFFF"/>
              </w:rPr>
              <w:t>地市分院上联路由器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191F25"/>
                <w:kern w:val="0"/>
                <w:szCs w:val="21"/>
                <w:shd w:val="clear" w:color="auto" w:fill="FFFFFF"/>
              </w:rPr>
              <w:t>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191F25"/>
                <w:kern w:val="0"/>
                <w:szCs w:val="21"/>
                <w:shd w:val="clear" w:color="auto" w:fill="FFFFFF"/>
              </w:rPr>
              <w:t>9</w:t>
            </w:r>
          </w:p>
        </w:tc>
      </w:tr>
      <w:tr w:rsidR="003C40D3" w:rsidTr="008A0604">
        <w:trPr>
          <w:trHeight w:val="399"/>
        </w:trPr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191F25"/>
                <w:kern w:val="0"/>
                <w:szCs w:val="21"/>
                <w:shd w:val="clear" w:color="auto" w:fill="FFFFFF"/>
              </w:rPr>
              <w:t>6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191F25"/>
                <w:kern w:val="0"/>
                <w:szCs w:val="21"/>
                <w:shd w:val="clear" w:color="auto" w:fill="FFFFFF"/>
              </w:rPr>
              <w:t>地市分院上联路由器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191F25"/>
                <w:kern w:val="0"/>
                <w:szCs w:val="21"/>
                <w:shd w:val="clear" w:color="auto" w:fill="FFFFFF"/>
              </w:rPr>
              <w:t>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191F25"/>
                <w:kern w:val="0"/>
                <w:szCs w:val="21"/>
                <w:shd w:val="clear" w:color="auto" w:fill="FFFFFF"/>
              </w:rPr>
              <w:t>7</w:t>
            </w:r>
          </w:p>
        </w:tc>
      </w:tr>
      <w:tr w:rsidR="003C40D3" w:rsidTr="008A0604">
        <w:trPr>
          <w:trHeight w:val="404"/>
        </w:trPr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191F25"/>
                <w:kern w:val="0"/>
                <w:szCs w:val="21"/>
                <w:shd w:val="clear" w:color="auto" w:fill="FFFFFF"/>
              </w:rPr>
              <w:t>7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191F25"/>
                <w:kern w:val="0"/>
                <w:szCs w:val="21"/>
                <w:shd w:val="clear" w:color="auto" w:fill="FFFFFF"/>
              </w:rPr>
              <w:t>线缆、辅材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191F25"/>
                <w:kern w:val="0"/>
                <w:szCs w:val="21"/>
                <w:shd w:val="clear" w:color="auto" w:fill="FFFFFF"/>
              </w:rPr>
              <w:t>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191F25"/>
                <w:kern w:val="0"/>
                <w:szCs w:val="21"/>
                <w:shd w:val="clear" w:color="auto" w:fill="FFFFFF"/>
              </w:rPr>
              <w:t>1</w:t>
            </w:r>
          </w:p>
        </w:tc>
      </w:tr>
    </w:tbl>
    <w:p w:rsidR="003C40D3" w:rsidRDefault="003C40D3" w:rsidP="003C40D3">
      <w:pPr>
        <w:autoSpaceDE w:val="0"/>
        <w:autoSpaceDN w:val="0"/>
        <w:adjustRightInd w:val="0"/>
        <w:spacing w:before="17" w:line="220" w:lineRule="exact"/>
        <w:ind w:right="-20"/>
        <w:jc w:val="left"/>
        <w:rPr>
          <w:rFonts w:ascii="仿宋" w:eastAsia="仿宋" w:hAnsi="仿宋"/>
          <w:kern w:val="0"/>
          <w:sz w:val="22"/>
        </w:rPr>
      </w:pPr>
    </w:p>
    <w:p w:rsidR="003C40D3" w:rsidRDefault="003C40D3" w:rsidP="003C40D3">
      <w:pPr>
        <w:autoSpaceDE w:val="0"/>
        <w:autoSpaceDN w:val="0"/>
        <w:adjustRightInd w:val="0"/>
        <w:spacing w:line="211" w:lineRule="exact"/>
        <w:ind w:left="533" w:right="-20"/>
        <w:jc w:val="left"/>
        <w:rPr>
          <w:rFonts w:ascii="仿宋" w:eastAsia="仿宋" w:hAnsi="仿宋" w:cs="宋体"/>
          <w:kern w:val="0"/>
          <w:position w:val="-1"/>
          <w:szCs w:val="21"/>
        </w:rPr>
      </w:pPr>
      <w:r>
        <w:rPr>
          <w:rFonts w:ascii="仿宋" w:eastAsia="仿宋" w:hAnsi="仿宋" w:cs="宋体" w:hint="eastAsia"/>
          <w:kern w:val="0"/>
          <w:position w:val="-1"/>
          <w:szCs w:val="21"/>
        </w:rPr>
        <w:t>2</w:t>
      </w:r>
      <w:r>
        <w:rPr>
          <w:rFonts w:ascii="仿宋" w:eastAsia="仿宋" w:hAnsi="仿宋" w:cs="宋体" w:hint="eastAsia"/>
          <w:kern w:val="0"/>
          <w:szCs w:val="21"/>
        </w:rPr>
        <w:t>、技术参数要求</w:t>
      </w:r>
    </w:p>
    <w:p w:rsidR="003C40D3" w:rsidRDefault="003C40D3" w:rsidP="003C40D3">
      <w:pPr>
        <w:autoSpaceDE w:val="0"/>
        <w:autoSpaceDN w:val="0"/>
        <w:adjustRightInd w:val="0"/>
        <w:spacing w:line="211" w:lineRule="exact"/>
        <w:ind w:left="533" w:right="-20"/>
        <w:jc w:val="left"/>
        <w:rPr>
          <w:rFonts w:ascii="仿宋" w:eastAsia="仿宋" w:hAnsi="仿宋" w:cs="宋体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"/>
        <w:gridCol w:w="2380"/>
        <w:gridCol w:w="5527"/>
      </w:tblGrid>
      <w:tr w:rsidR="003C40D3" w:rsidTr="008A0604">
        <w:trPr>
          <w:trHeight w:val="1321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</w:p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</w:p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191F25"/>
                <w:kern w:val="0"/>
                <w:szCs w:val="21"/>
                <w:shd w:val="clear" w:color="auto" w:fill="FFFFFF"/>
              </w:rPr>
              <w:t xml:space="preserve"> 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</w:p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191F25"/>
                <w:kern w:val="0"/>
                <w:szCs w:val="21"/>
                <w:shd w:val="clear" w:color="auto" w:fill="FFFFFF"/>
              </w:rPr>
              <w:t>MSTP/PTN/UTN 数据专线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191F25"/>
                <w:kern w:val="0"/>
                <w:szCs w:val="21"/>
                <w:shd w:val="clear" w:color="auto" w:fill="FFFFFF"/>
              </w:rPr>
              <w:t xml:space="preserve">1、线路带宽 200M ；                                                                           </w:t>
            </w:r>
          </w:p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191F25"/>
                <w:kern w:val="0"/>
                <w:szCs w:val="21"/>
                <w:shd w:val="clear" w:color="auto" w:fill="FFFFFF"/>
              </w:rPr>
              <w:t xml:space="preserve">2、带宽占用端到端独占带宽，硬通道； </w:t>
            </w:r>
          </w:p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191F25"/>
                <w:kern w:val="0"/>
                <w:szCs w:val="21"/>
                <w:shd w:val="clear" w:color="auto" w:fill="FFFFFF"/>
              </w:rPr>
              <w:t>3、</w:t>
            </w:r>
            <w:r>
              <w:rPr>
                <w:rFonts w:ascii="仿宋" w:eastAsia="仿宋" w:hAnsi="仿宋" w:hint="eastAsia"/>
                <w:color w:val="191F25"/>
                <w:szCs w:val="21"/>
                <w:shd w:val="clear" w:color="auto" w:fill="FFFFFF"/>
              </w:rPr>
              <w:t>省院</w:t>
            </w:r>
            <w:r>
              <w:rPr>
                <w:rFonts w:ascii="仿宋" w:eastAsia="仿宋" w:hAnsi="仿宋" w:hint="eastAsia"/>
                <w:color w:val="191F25"/>
                <w:kern w:val="0"/>
                <w:szCs w:val="21"/>
                <w:shd w:val="clear" w:color="auto" w:fill="FFFFFF"/>
              </w:rPr>
              <w:t>至 18 个市级院、铁检分院、双活数据中心、省检察官学院。</w:t>
            </w:r>
          </w:p>
        </w:tc>
      </w:tr>
      <w:tr w:rsidR="003C40D3" w:rsidTr="008A060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</w:p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191F25"/>
                <w:kern w:val="0"/>
                <w:szCs w:val="21"/>
                <w:shd w:val="clear" w:color="auto" w:fill="FFFFFF"/>
              </w:rPr>
              <w:t xml:space="preserve">  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</w:p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191F25"/>
                <w:kern w:val="0"/>
                <w:szCs w:val="21"/>
                <w:shd w:val="clear" w:color="auto" w:fill="FFFFFF"/>
              </w:rPr>
              <w:t>MSTP/PTN/UTN 视频专线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191F25"/>
                <w:kern w:val="0"/>
                <w:szCs w:val="21"/>
                <w:shd w:val="clear" w:color="auto" w:fill="FFFFFF"/>
              </w:rPr>
              <w:t>1、线路带宽 50M ；</w:t>
            </w:r>
          </w:p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191F25"/>
                <w:kern w:val="0"/>
                <w:szCs w:val="21"/>
                <w:shd w:val="clear" w:color="auto" w:fill="FFFFFF"/>
              </w:rPr>
              <w:t>2、宽占用端到端独占带宽，硬通道；</w:t>
            </w:r>
          </w:p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191F25"/>
                <w:kern w:val="0"/>
                <w:szCs w:val="21"/>
                <w:shd w:val="clear" w:color="auto" w:fill="FFFFFF"/>
              </w:rPr>
              <w:t>3、</w:t>
            </w:r>
            <w:r>
              <w:rPr>
                <w:rFonts w:ascii="仿宋" w:eastAsia="仿宋" w:hAnsi="仿宋" w:hint="eastAsia"/>
                <w:color w:val="191F25"/>
                <w:szCs w:val="21"/>
                <w:shd w:val="clear" w:color="auto" w:fill="FFFFFF"/>
              </w:rPr>
              <w:t>省院</w:t>
            </w:r>
            <w:r>
              <w:rPr>
                <w:rFonts w:ascii="仿宋" w:eastAsia="仿宋" w:hAnsi="仿宋" w:hint="eastAsia"/>
                <w:color w:val="191F25"/>
                <w:kern w:val="0"/>
                <w:szCs w:val="21"/>
                <w:shd w:val="clear" w:color="auto" w:fill="FFFFFF"/>
              </w:rPr>
              <w:t>至 18 个市级院、铁检分院、省检察官学院。</w:t>
            </w:r>
          </w:p>
        </w:tc>
      </w:tr>
      <w:tr w:rsidR="003C40D3" w:rsidTr="008A0604">
        <w:trPr>
          <w:trHeight w:val="5654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</w:p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</w:p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</w:p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</w:p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</w:p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</w:p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</w:p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</w:p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191F25"/>
                <w:kern w:val="0"/>
                <w:szCs w:val="21"/>
                <w:shd w:val="clear" w:color="auto" w:fill="FFFFFF"/>
              </w:rPr>
              <w:t xml:space="preserve">   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</w:p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</w:p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</w:p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</w:p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</w:p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</w:p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</w:p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</w:p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191F25"/>
                <w:kern w:val="0"/>
                <w:szCs w:val="21"/>
                <w:shd w:val="clear" w:color="auto" w:fill="FFFFFF"/>
              </w:rPr>
              <w:t>省院核心路由器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191F25"/>
                <w:kern w:val="0"/>
                <w:szCs w:val="21"/>
                <w:shd w:val="clear" w:color="auto" w:fill="FFFFFF"/>
              </w:rPr>
              <w:t xml:space="preserve">1.分级交换架构，配置独立的主控板卡≥2，独立的交换板卡≥2,业务 处理卡槽位≥8； </w:t>
            </w:r>
          </w:p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191F25"/>
                <w:kern w:val="0"/>
                <w:szCs w:val="21"/>
                <w:shd w:val="clear" w:color="auto" w:fill="FFFFFF"/>
              </w:rPr>
              <w:t xml:space="preserve">2.交换容量≥3.0Tbps,包转发率≥1100Mpps； </w:t>
            </w:r>
          </w:p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191F25"/>
                <w:kern w:val="0"/>
                <w:szCs w:val="21"/>
                <w:shd w:val="clear" w:color="auto" w:fill="FFFFFF"/>
              </w:rPr>
              <w:t xml:space="preserve">3.配置交流电源模块≥2（支持 2+1/1+1 冗余），含冗余风扇模块； </w:t>
            </w:r>
          </w:p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191F25"/>
                <w:kern w:val="0"/>
                <w:szCs w:val="21"/>
                <w:shd w:val="clear" w:color="auto" w:fill="FFFFFF"/>
              </w:rPr>
              <w:t xml:space="preserve">4.实配支持 OSPF、VRRP、BFD、MPLS VPN、MVPN、IPv6 协议； </w:t>
            </w:r>
          </w:p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191F25"/>
                <w:kern w:val="0"/>
                <w:szCs w:val="21"/>
                <w:shd w:val="clear" w:color="auto" w:fill="FFFFFF"/>
              </w:rPr>
              <w:t xml:space="preserve">5.配置千兆接口≥10((含 5 电、5 光模块))，每槽位须支持千兆或万兆 的纯三层接口； </w:t>
            </w:r>
          </w:p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191F25"/>
                <w:kern w:val="0"/>
                <w:szCs w:val="21"/>
                <w:shd w:val="clear" w:color="auto" w:fill="FFFFFF"/>
              </w:rPr>
              <w:t xml:space="preserve">6.支持 1M 条路由表； </w:t>
            </w:r>
          </w:p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FF0000"/>
                <w:kern w:val="0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191F25"/>
                <w:kern w:val="0"/>
                <w:szCs w:val="21"/>
                <w:shd w:val="clear" w:color="auto" w:fill="FFFFFF"/>
              </w:rPr>
              <w:t>7.与全省现有设备实现良好兼容</w:t>
            </w:r>
            <w:r>
              <w:rPr>
                <w:rFonts w:ascii="仿宋" w:eastAsia="仿宋" w:hAnsi="仿宋" w:hint="eastAsia"/>
                <w:color w:val="FF0000"/>
                <w:kern w:val="0"/>
                <w:szCs w:val="21"/>
                <w:shd w:val="clear" w:color="auto" w:fill="FFFFFF"/>
              </w:rPr>
              <w:t xml:space="preserve">； </w:t>
            </w:r>
          </w:p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191F25"/>
                <w:kern w:val="0"/>
                <w:szCs w:val="21"/>
                <w:shd w:val="clear" w:color="auto" w:fill="FFFFFF"/>
              </w:rPr>
              <w:t xml:space="preserve">8.本标段所有路由器同品牌； </w:t>
            </w:r>
          </w:p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FF0000"/>
                <w:kern w:val="0"/>
                <w:szCs w:val="21"/>
                <w:shd w:val="clear" w:color="auto" w:fill="FFFFFF"/>
              </w:rPr>
            </w:pPr>
          </w:p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FF0000"/>
                <w:kern w:val="0"/>
                <w:szCs w:val="21"/>
                <w:shd w:val="clear" w:color="auto" w:fill="FFFFFF"/>
              </w:rPr>
              <w:t>提供设备技术证明文件。</w:t>
            </w:r>
          </w:p>
        </w:tc>
      </w:tr>
      <w:tr w:rsidR="003C40D3" w:rsidTr="008A060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</w:rPr>
              <w:t xml:space="preserve">  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</w:p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</w:p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</w:p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</w:p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</w:p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</w:p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</w:p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191F25"/>
                <w:kern w:val="0"/>
                <w:szCs w:val="21"/>
                <w:shd w:val="clear" w:color="auto" w:fill="FFFFFF"/>
              </w:rPr>
              <w:t>地市分院上联路由器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191F25"/>
                <w:kern w:val="0"/>
                <w:szCs w:val="21"/>
                <w:shd w:val="clear" w:color="auto" w:fill="FFFFFF"/>
              </w:rPr>
              <w:t xml:space="preserve">1.实配产品关键部件均采用冗余设计，配置主控引擎≥2、交换板≥2， 电源≥2、风扇≥2，含引擎、板卡、子卡、机箱风扇和电源都支持热插 拔； </w:t>
            </w:r>
          </w:p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191F25"/>
                <w:kern w:val="0"/>
                <w:szCs w:val="21"/>
                <w:shd w:val="clear" w:color="auto" w:fill="FFFFFF"/>
              </w:rPr>
              <w:t xml:space="preserve">2.业务处理卡槽位≥4； </w:t>
            </w:r>
          </w:p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191F25"/>
                <w:kern w:val="0"/>
                <w:szCs w:val="21"/>
                <w:shd w:val="clear" w:color="auto" w:fill="FFFFFF"/>
              </w:rPr>
              <w:t xml:space="preserve">3.交换容量≥1.5Tbps,包转发率≥750Mpps； </w:t>
            </w:r>
          </w:p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191F25"/>
                <w:kern w:val="0"/>
                <w:szCs w:val="21"/>
                <w:shd w:val="clear" w:color="auto" w:fill="FFFFFF"/>
              </w:rPr>
              <w:t xml:space="preserve">4.配置千兆接口≥8(含 4 电、4 光模块)； </w:t>
            </w:r>
          </w:p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191F25"/>
                <w:kern w:val="0"/>
                <w:szCs w:val="21"/>
                <w:shd w:val="clear" w:color="auto" w:fill="FFFFFF"/>
              </w:rPr>
              <w:t xml:space="preserve">5.可实现 OSPF、OSPFv3、BGP、BGP4+、VRRP、BFD、GRE、MPLS VPN、MVPN、 IPv6 协议； </w:t>
            </w:r>
          </w:p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191F25"/>
                <w:kern w:val="0"/>
                <w:szCs w:val="21"/>
                <w:shd w:val="clear" w:color="auto" w:fill="FFFFFF"/>
              </w:rPr>
              <w:t xml:space="preserve">6.每槽位须支持安装千兆或万兆的纯三层接口； </w:t>
            </w:r>
          </w:p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191F25"/>
                <w:kern w:val="0"/>
                <w:szCs w:val="21"/>
                <w:shd w:val="clear" w:color="auto" w:fill="FFFFFF"/>
              </w:rPr>
              <w:t xml:space="preserve">7.提供技术证明材料； </w:t>
            </w:r>
          </w:p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191F25"/>
                <w:kern w:val="0"/>
                <w:szCs w:val="21"/>
                <w:shd w:val="clear" w:color="auto" w:fill="FFFFFF"/>
              </w:rPr>
              <w:t>8.本标段所有路由器同品牌。</w:t>
            </w:r>
          </w:p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3C40D3" w:rsidTr="008A060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</w:p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</w:p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</w:p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</w:p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</w:p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 w:val="20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191F25"/>
                <w:kern w:val="0"/>
                <w:szCs w:val="21"/>
                <w:shd w:val="clear" w:color="auto" w:fill="FFFFFF"/>
              </w:rPr>
              <w:t xml:space="preserve">  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D3" w:rsidRDefault="003C40D3" w:rsidP="008A0604">
            <w:pPr>
              <w:pStyle w:val="a6"/>
              <w:jc w:val="both"/>
              <w:rPr>
                <w:rFonts w:ascii="仿宋" w:eastAsia="仿宋" w:hAnsi="仿宋"/>
                <w:color w:val="191F25"/>
                <w:sz w:val="21"/>
                <w:szCs w:val="21"/>
                <w:shd w:val="clear" w:color="auto" w:fill="FFFFFF"/>
              </w:rPr>
            </w:pPr>
          </w:p>
          <w:p w:rsidR="003C40D3" w:rsidRDefault="003C40D3" w:rsidP="008A0604">
            <w:pPr>
              <w:pStyle w:val="a6"/>
              <w:jc w:val="both"/>
              <w:rPr>
                <w:rFonts w:ascii="仿宋" w:eastAsia="仿宋" w:hAnsi="仿宋"/>
                <w:color w:val="191F25"/>
                <w:sz w:val="21"/>
                <w:szCs w:val="21"/>
                <w:shd w:val="clear" w:color="auto" w:fill="FFFFFF"/>
              </w:rPr>
            </w:pPr>
          </w:p>
          <w:p w:rsidR="003C40D3" w:rsidRDefault="003C40D3" w:rsidP="008A0604">
            <w:pPr>
              <w:pStyle w:val="a6"/>
              <w:jc w:val="both"/>
              <w:rPr>
                <w:rFonts w:ascii="仿宋" w:eastAsia="仿宋" w:hAnsi="仿宋" w:cs="Times New Roman"/>
                <w:color w:val="191F25"/>
                <w:sz w:val="21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191F25"/>
                <w:sz w:val="21"/>
                <w:szCs w:val="21"/>
                <w:shd w:val="clear" w:color="auto" w:fill="FFFFFF"/>
              </w:rPr>
              <w:t>地市分院上联路由器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191F25"/>
                <w:kern w:val="0"/>
                <w:szCs w:val="21"/>
                <w:shd w:val="clear" w:color="auto" w:fill="FFFFFF"/>
              </w:rPr>
              <w:t xml:space="preserve">1.采用冗余设计，配置主控引擎≥2、交换板≥2，电源≥2，含引擎、 板卡、子卡、机箱风扇和电源都支持热插拔； </w:t>
            </w:r>
          </w:p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191F25"/>
                <w:kern w:val="0"/>
                <w:szCs w:val="21"/>
                <w:shd w:val="clear" w:color="auto" w:fill="FFFFFF"/>
              </w:rPr>
              <w:t xml:space="preserve">2.业务处理卡槽位≥4； </w:t>
            </w:r>
          </w:p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191F25"/>
                <w:kern w:val="0"/>
                <w:szCs w:val="21"/>
                <w:shd w:val="clear" w:color="auto" w:fill="FFFFFF"/>
              </w:rPr>
              <w:t xml:space="preserve">3.交换容量≥0.75Tbps,包转发率≥300Mpps； </w:t>
            </w:r>
          </w:p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191F25"/>
                <w:kern w:val="0"/>
                <w:szCs w:val="21"/>
                <w:shd w:val="clear" w:color="auto" w:fill="FFFFFF"/>
              </w:rPr>
              <w:t xml:space="preserve">4.配置千兆接口≥8(含 4 电、4 光模块)； </w:t>
            </w:r>
          </w:p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191F25"/>
                <w:kern w:val="0"/>
                <w:szCs w:val="21"/>
                <w:shd w:val="clear" w:color="auto" w:fill="FFFFFF"/>
              </w:rPr>
              <w:t xml:space="preserve">5.可实现 OSPF、OSPFv3、BGP、BGP4+、VRRP、BFD、GRE、MPLS VPN、MVPN、 IPv6 协议； </w:t>
            </w:r>
          </w:p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191F25"/>
                <w:kern w:val="0"/>
                <w:szCs w:val="21"/>
                <w:shd w:val="clear" w:color="auto" w:fill="FFFFFF"/>
              </w:rPr>
              <w:t xml:space="preserve">6.每槽位须支持安装千兆或万兆的纯三层接口； </w:t>
            </w:r>
          </w:p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191F25"/>
                <w:kern w:val="0"/>
                <w:szCs w:val="21"/>
                <w:shd w:val="clear" w:color="auto" w:fill="FFFFFF"/>
              </w:rPr>
              <w:t xml:space="preserve">7.提供技术证明材料。 </w:t>
            </w:r>
          </w:p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</w:p>
        </w:tc>
      </w:tr>
      <w:tr w:rsidR="003C40D3" w:rsidTr="008A060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 w:val="20"/>
                <w:szCs w:val="21"/>
                <w:shd w:val="clear" w:color="auto" w:fill="FFFFFF"/>
              </w:rPr>
            </w:pPr>
          </w:p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 w:val="20"/>
                <w:szCs w:val="21"/>
                <w:shd w:val="clear" w:color="auto" w:fill="FFFFFF"/>
              </w:rPr>
            </w:pPr>
          </w:p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 w:val="20"/>
                <w:szCs w:val="21"/>
                <w:shd w:val="clear" w:color="auto" w:fill="FFFFFF"/>
              </w:rPr>
            </w:pPr>
          </w:p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 w:val="20"/>
                <w:szCs w:val="21"/>
                <w:shd w:val="clear" w:color="auto" w:fill="FFFFFF"/>
              </w:rPr>
            </w:pPr>
          </w:p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 w:val="20"/>
                <w:szCs w:val="21"/>
                <w:shd w:val="clear" w:color="auto" w:fill="FFFFFF"/>
              </w:rPr>
            </w:pPr>
          </w:p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 w:val="20"/>
                <w:szCs w:val="21"/>
                <w:shd w:val="clear" w:color="auto" w:fill="FFFFFF"/>
              </w:rPr>
            </w:pPr>
          </w:p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 w:val="20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191F25"/>
                <w:kern w:val="0"/>
                <w:sz w:val="20"/>
                <w:szCs w:val="21"/>
                <w:shd w:val="clear" w:color="auto" w:fill="FFFFFF"/>
              </w:rPr>
              <w:t xml:space="preserve">  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D3" w:rsidRDefault="003C40D3" w:rsidP="008A0604">
            <w:pPr>
              <w:pStyle w:val="a6"/>
              <w:jc w:val="both"/>
              <w:rPr>
                <w:rFonts w:ascii="仿宋" w:eastAsia="仿宋" w:hAnsi="仿宋"/>
                <w:color w:val="191F25"/>
                <w:sz w:val="21"/>
                <w:szCs w:val="21"/>
                <w:shd w:val="clear" w:color="auto" w:fill="FFFFFF"/>
              </w:rPr>
            </w:pPr>
          </w:p>
          <w:p w:rsidR="003C40D3" w:rsidRDefault="003C40D3" w:rsidP="008A0604">
            <w:pPr>
              <w:pStyle w:val="a6"/>
              <w:jc w:val="both"/>
              <w:rPr>
                <w:rFonts w:ascii="仿宋" w:eastAsia="仿宋" w:hAnsi="仿宋"/>
                <w:color w:val="191F25"/>
                <w:sz w:val="21"/>
                <w:szCs w:val="21"/>
                <w:shd w:val="clear" w:color="auto" w:fill="FFFFFF"/>
              </w:rPr>
            </w:pPr>
          </w:p>
          <w:p w:rsidR="003C40D3" w:rsidRDefault="003C40D3" w:rsidP="008A0604">
            <w:pPr>
              <w:pStyle w:val="a6"/>
              <w:jc w:val="both"/>
              <w:rPr>
                <w:rFonts w:ascii="仿宋" w:eastAsia="仿宋" w:hAnsi="仿宋"/>
                <w:color w:val="191F25"/>
                <w:sz w:val="21"/>
                <w:szCs w:val="21"/>
                <w:shd w:val="clear" w:color="auto" w:fill="FFFFFF"/>
              </w:rPr>
            </w:pPr>
          </w:p>
          <w:p w:rsidR="003C40D3" w:rsidRDefault="003C40D3" w:rsidP="008A0604">
            <w:pPr>
              <w:pStyle w:val="a6"/>
              <w:jc w:val="both"/>
              <w:rPr>
                <w:rFonts w:ascii="仿宋" w:eastAsia="仿宋" w:hAnsi="仿宋" w:cs="Times New Roman"/>
                <w:color w:val="191F25"/>
                <w:sz w:val="21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191F25"/>
                <w:sz w:val="21"/>
                <w:szCs w:val="21"/>
                <w:shd w:val="clear" w:color="auto" w:fill="FFFFFF"/>
              </w:rPr>
              <w:t>地市分院上联路由器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191F25"/>
                <w:kern w:val="0"/>
                <w:szCs w:val="21"/>
                <w:shd w:val="clear" w:color="auto" w:fill="FFFFFF"/>
              </w:rPr>
              <w:t xml:space="preserve">1.采用冗余设计，配置主控引擎≥2、电源≥2，交换板≥2，含引擎、 板卡、子卡、机箱风扇和电源都支持热插拔； </w:t>
            </w:r>
          </w:p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191F25"/>
                <w:kern w:val="0"/>
                <w:szCs w:val="21"/>
                <w:shd w:val="clear" w:color="auto" w:fill="FFFFFF"/>
              </w:rPr>
              <w:t xml:space="preserve">2.业务处理卡槽位≥4； </w:t>
            </w:r>
          </w:p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191F25"/>
                <w:kern w:val="0"/>
                <w:szCs w:val="21"/>
                <w:shd w:val="clear" w:color="auto" w:fill="FFFFFF"/>
              </w:rPr>
              <w:t xml:space="preserve">3.交换容量≥0.5Tbps,包转发率≥180Mpps； </w:t>
            </w:r>
          </w:p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191F25"/>
                <w:kern w:val="0"/>
                <w:szCs w:val="21"/>
                <w:shd w:val="clear" w:color="auto" w:fill="FFFFFF"/>
              </w:rPr>
              <w:t xml:space="preserve">4.配置千兆接口≥8(包括相应模块)； </w:t>
            </w:r>
          </w:p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191F25"/>
                <w:kern w:val="0"/>
                <w:szCs w:val="21"/>
                <w:shd w:val="clear" w:color="auto" w:fill="FFFFFF"/>
              </w:rPr>
              <w:t xml:space="preserve">5.可实现 OSPF、OSPFv3、BGP、BGP4+、VRRP、BFD、GRE、MPLS VPN、MVPN、 IPv6 协议； </w:t>
            </w:r>
          </w:p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191F25"/>
                <w:kern w:val="0"/>
                <w:szCs w:val="21"/>
                <w:shd w:val="clear" w:color="auto" w:fill="FFFFFF"/>
              </w:rPr>
              <w:t xml:space="preserve">6.每槽位须支持安装千兆或万兆的纯三层接口； </w:t>
            </w:r>
          </w:p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191F25"/>
                <w:kern w:val="0"/>
                <w:szCs w:val="21"/>
                <w:shd w:val="clear" w:color="auto" w:fill="FFFFFF"/>
              </w:rPr>
              <w:t xml:space="preserve">7.提供技术证明材料； </w:t>
            </w:r>
          </w:p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191F25"/>
                <w:kern w:val="0"/>
                <w:szCs w:val="21"/>
                <w:shd w:val="clear" w:color="auto" w:fill="FFFFFF"/>
              </w:rPr>
              <w:t xml:space="preserve">8.本标段所有路由器同品牌。 </w:t>
            </w:r>
          </w:p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</w:p>
        </w:tc>
      </w:tr>
      <w:tr w:rsidR="003C40D3" w:rsidTr="008A0604">
        <w:trPr>
          <w:trHeight w:val="59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D3" w:rsidRDefault="003C40D3" w:rsidP="008A060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191F25"/>
                <w:kern w:val="0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191F25"/>
                <w:kern w:val="0"/>
                <w:szCs w:val="21"/>
                <w:shd w:val="clear" w:color="auto" w:fill="FFFFFF"/>
              </w:rPr>
              <w:t xml:space="preserve">  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D3" w:rsidRDefault="003C40D3" w:rsidP="008A0604">
            <w:pPr>
              <w:pStyle w:val="a6"/>
              <w:jc w:val="both"/>
              <w:rPr>
                <w:rFonts w:ascii="仿宋" w:eastAsia="仿宋" w:hAnsi="仿宋"/>
                <w:color w:val="191F25"/>
                <w:sz w:val="21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191F25"/>
                <w:sz w:val="21"/>
                <w:szCs w:val="21"/>
                <w:shd w:val="clear" w:color="auto" w:fill="FFFFFF"/>
              </w:rPr>
              <w:t>线缆辅材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D3" w:rsidRDefault="003C40D3" w:rsidP="008A0604">
            <w:pPr>
              <w:pStyle w:val="a6"/>
              <w:jc w:val="both"/>
              <w:rPr>
                <w:rFonts w:ascii="仿宋" w:eastAsia="仿宋" w:hAnsi="仿宋"/>
                <w:color w:val="191F25"/>
                <w:sz w:val="21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191F25"/>
                <w:sz w:val="21"/>
                <w:szCs w:val="21"/>
                <w:shd w:val="clear" w:color="auto" w:fill="FFFFFF"/>
              </w:rPr>
              <w:t>根据施工现场定制。</w:t>
            </w:r>
          </w:p>
        </w:tc>
      </w:tr>
    </w:tbl>
    <w:p w:rsidR="003C40D3" w:rsidRDefault="003C40D3" w:rsidP="003C40D3">
      <w:pPr>
        <w:autoSpaceDE w:val="0"/>
        <w:autoSpaceDN w:val="0"/>
        <w:adjustRightInd w:val="0"/>
        <w:spacing w:before="17" w:line="220" w:lineRule="exact"/>
        <w:ind w:right="-20"/>
        <w:jc w:val="left"/>
        <w:rPr>
          <w:rFonts w:ascii="仿宋" w:eastAsia="仿宋" w:hAnsi="仿宋"/>
          <w:kern w:val="0"/>
          <w:sz w:val="22"/>
        </w:rPr>
      </w:pPr>
    </w:p>
    <w:p w:rsidR="003C40D3" w:rsidRDefault="003C40D3" w:rsidP="003C40D3">
      <w:pPr>
        <w:autoSpaceDE w:val="0"/>
        <w:autoSpaceDN w:val="0"/>
        <w:adjustRightInd w:val="0"/>
        <w:spacing w:before="17" w:line="220" w:lineRule="exact"/>
        <w:ind w:right="-20"/>
        <w:jc w:val="left"/>
        <w:rPr>
          <w:rFonts w:ascii="仿宋" w:eastAsia="仿宋" w:hAnsi="仿宋"/>
          <w:kern w:val="0"/>
          <w:sz w:val="22"/>
        </w:rPr>
      </w:pPr>
    </w:p>
    <w:p w:rsidR="003C40D3" w:rsidRDefault="003C40D3" w:rsidP="003C40D3">
      <w:pPr>
        <w:autoSpaceDE w:val="0"/>
        <w:autoSpaceDN w:val="0"/>
        <w:adjustRightInd w:val="0"/>
        <w:spacing w:before="17" w:line="360" w:lineRule="auto"/>
        <w:ind w:right="-20"/>
        <w:jc w:val="left"/>
        <w:rPr>
          <w:rFonts w:ascii="仿宋" w:eastAsia="仿宋" w:hAnsi="仿宋"/>
          <w:kern w:val="0"/>
          <w:sz w:val="22"/>
        </w:rPr>
      </w:pPr>
      <w:r>
        <w:rPr>
          <w:rFonts w:ascii="仿宋" w:eastAsia="仿宋" w:hAnsi="仿宋"/>
          <w:kern w:val="0"/>
          <w:sz w:val="22"/>
        </w:rPr>
        <w:t>3</w:t>
      </w:r>
      <w:r>
        <w:rPr>
          <w:rFonts w:ascii="仿宋" w:eastAsia="仿宋" w:hAnsi="仿宋" w:hint="eastAsia"/>
          <w:kern w:val="0"/>
          <w:sz w:val="22"/>
        </w:rPr>
        <w:t>、其他要求</w:t>
      </w:r>
    </w:p>
    <w:p w:rsidR="003C40D3" w:rsidRDefault="003C40D3" w:rsidP="003C40D3">
      <w:pPr>
        <w:autoSpaceDE w:val="0"/>
        <w:autoSpaceDN w:val="0"/>
        <w:adjustRightInd w:val="0"/>
        <w:spacing w:before="17" w:line="360" w:lineRule="auto"/>
        <w:ind w:right="-20"/>
        <w:jc w:val="left"/>
        <w:rPr>
          <w:rFonts w:ascii="仿宋" w:eastAsia="仿宋" w:hAnsi="仿宋"/>
          <w:kern w:val="0"/>
          <w:sz w:val="22"/>
        </w:rPr>
      </w:pPr>
      <w:r>
        <w:rPr>
          <w:rFonts w:ascii="仿宋" w:eastAsia="仿宋" w:hAnsi="仿宋"/>
          <w:kern w:val="0"/>
          <w:sz w:val="22"/>
        </w:rPr>
        <w:t>3.1</w:t>
      </w:r>
      <w:r>
        <w:rPr>
          <w:rFonts w:ascii="仿宋" w:eastAsia="仿宋" w:hAnsi="仿宋" w:hint="eastAsia"/>
          <w:kern w:val="0"/>
          <w:sz w:val="22"/>
        </w:rPr>
        <w:t>、质保服务</w:t>
      </w:r>
    </w:p>
    <w:p w:rsidR="003C40D3" w:rsidRDefault="003C40D3" w:rsidP="003C40D3">
      <w:pPr>
        <w:autoSpaceDE w:val="0"/>
        <w:autoSpaceDN w:val="0"/>
        <w:adjustRightInd w:val="0"/>
        <w:spacing w:before="17" w:line="360" w:lineRule="auto"/>
        <w:ind w:right="-20"/>
        <w:jc w:val="left"/>
        <w:rPr>
          <w:rFonts w:ascii="仿宋" w:eastAsia="仿宋" w:hAnsi="仿宋"/>
          <w:kern w:val="0"/>
          <w:sz w:val="22"/>
        </w:rPr>
      </w:pPr>
      <w:r>
        <w:rPr>
          <w:rFonts w:ascii="仿宋" w:eastAsia="仿宋" w:hAnsi="仿宋" w:hint="eastAsia"/>
          <w:kern w:val="0"/>
          <w:sz w:val="22"/>
        </w:rPr>
        <w:t>（</w:t>
      </w:r>
      <w:r>
        <w:rPr>
          <w:rFonts w:ascii="仿宋" w:eastAsia="仿宋" w:hAnsi="仿宋"/>
          <w:kern w:val="0"/>
          <w:sz w:val="22"/>
        </w:rPr>
        <w:t>1</w:t>
      </w:r>
      <w:r>
        <w:rPr>
          <w:rFonts w:ascii="仿宋" w:eastAsia="仿宋" w:hAnsi="仿宋" w:hint="eastAsia"/>
          <w:kern w:val="0"/>
          <w:sz w:val="22"/>
        </w:rPr>
        <w:t>）所有相关软</w:t>
      </w:r>
      <w:r>
        <w:rPr>
          <w:rFonts w:ascii="仿宋" w:eastAsia="仿宋" w:hAnsi="仿宋"/>
          <w:kern w:val="0"/>
          <w:sz w:val="22"/>
        </w:rPr>
        <w:t>/</w:t>
      </w:r>
      <w:r>
        <w:rPr>
          <w:rFonts w:ascii="仿宋" w:eastAsia="仿宋" w:hAnsi="仿宋" w:hint="eastAsia"/>
          <w:kern w:val="0"/>
          <w:sz w:val="22"/>
        </w:rPr>
        <w:t>硬件设备质保年限为</w:t>
      </w:r>
      <w:r>
        <w:rPr>
          <w:rFonts w:ascii="仿宋" w:eastAsia="仿宋" w:hAnsi="仿宋"/>
          <w:kern w:val="0"/>
          <w:sz w:val="22"/>
        </w:rPr>
        <w:t>3</w:t>
      </w:r>
      <w:r>
        <w:rPr>
          <w:rFonts w:ascii="仿宋" w:eastAsia="仿宋" w:hAnsi="仿宋" w:hint="eastAsia"/>
          <w:kern w:val="0"/>
          <w:sz w:val="22"/>
        </w:rPr>
        <w:t>年</w:t>
      </w:r>
    </w:p>
    <w:p w:rsidR="003C40D3" w:rsidRDefault="003C40D3" w:rsidP="003C40D3">
      <w:pPr>
        <w:autoSpaceDE w:val="0"/>
        <w:autoSpaceDN w:val="0"/>
        <w:adjustRightInd w:val="0"/>
        <w:spacing w:before="17" w:line="360" w:lineRule="auto"/>
        <w:ind w:right="-20"/>
        <w:jc w:val="left"/>
        <w:rPr>
          <w:rFonts w:ascii="仿宋" w:eastAsia="仿宋" w:hAnsi="仿宋"/>
          <w:kern w:val="0"/>
          <w:sz w:val="22"/>
        </w:rPr>
      </w:pPr>
      <w:r>
        <w:rPr>
          <w:rFonts w:ascii="仿宋" w:eastAsia="仿宋" w:hAnsi="仿宋" w:hint="eastAsia"/>
          <w:kern w:val="0"/>
          <w:sz w:val="22"/>
        </w:rPr>
        <w:t>（</w:t>
      </w:r>
      <w:r>
        <w:rPr>
          <w:rFonts w:ascii="仿宋" w:eastAsia="仿宋" w:hAnsi="仿宋"/>
          <w:kern w:val="0"/>
          <w:sz w:val="22"/>
        </w:rPr>
        <w:t>2</w:t>
      </w:r>
      <w:r>
        <w:rPr>
          <w:rFonts w:ascii="仿宋" w:eastAsia="仿宋" w:hAnsi="仿宋" w:hint="eastAsia"/>
          <w:kern w:val="0"/>
          <w:sz w:val="22"/>
        </w:rPr>
        <w:t>）质保期内，自接到用户报修时起，</w:t>
      </w:r>
      <w:r>
        <w:rPr>
          <w:rFonts w:ascii="仿宋" w:eastAsia="仿宋" w:hAnsi="仿宋"/>
          <w:kern w:val="0"/>
          <w:sz w:val="22"/>
        </w:rPr>
        <w:t>2</w:t>
      </w:r>
      <w:r>
        <w:rPr>
          <w:rFonts w:ascii="仿宋" w:eastAsia="仿宋" w:hAnsi="仿宋" w:hint="eastAsia"/>
          <w:kern w:val="0"/>
          <w:sz w:val="22"/>
        </w:rPr>
        <w:t>个小时内响应，</w:t>
      </w:r>
      <w:r>
        <w:rPr>
          <w:rFonts w:ascii="仿宋" w:eastAsia="仿宋" w:hAnsi="仿宋"/>
          <w:kern w:val="0"/>
          <w:sz w:val="22"/>
        </w:rPr>
        <w:t>24</w:t>
      </w:r>
      <w:r>
        <w:rPr>
          <w:rFonts w:ascii="仿宋" w:eastAsia="仿宋" w:hAnsi="仿宋" w:hint="eastAsia"/>
          <w:kern w:val="0"/>
          <w:sz w:val="22"/>
        </w:rPr>
        <w:t>小时内到达用户现场并解决问题，如不能及时解决问题要提供备机服务、直到原设备修复</w:t>
      </w:r>
    </w:p>
    <w:p w:rsidR="003C40D3" w:rsidRDefault="003C40D3" w:rsidP="003C40D3">
      <w:pPr>
        <w:autoSpaceDE w:val="0"/>
        <w:autoSpaceDN w:val="0"/>
        <w:adjustRightInd w:val="0"/>
        <w:spacing w:before="17" w:line="360" w:lineRule="auto"/>
        <w:ind w:right="-20"/>
        <w:jc w:val="left"/>
        <w:rPr>
          <w:rFonts w:ascii="仿宋" w:eastAsia="仿宋" w:hAnsi="仿宋"/>
          <w:kern w:val="0"/>
          <w:sz w:val="22"/>
        </w:rPr>
      </w:pPr>
      <w:r>
        <w:rPr>
          <w:rFonts w:ascii="仿宋" w:eastAsia="仿宋" w:hAnsi="仿宋" w:hint="eastAsia"/>
          <w:kern w:val="0"/>
          <w:sz w:val="22"/>
        </w:rPr>
        <w:lastRenderedPageBreak/>
        <w:t>（</w:t>
      </w:r>
      <w:r>
        <w:rPr>
          <w:rFonts w:ascii="仿宋" w:eastAsia="仿宋" w:hAnsi="仿宋"/>
          <w:kern w:val="0"/>
          <w:sz w:val="22"/>
        </w:rPr>
        <w:t>3</w:t>
      </w:r>
      <w:r>
        <w:rPr>
          <w:rFonts w:ascii="仿宋" w:eastAsia="仿宋" w:hAnsi="仿宋" w:hint="eastAsia"/>
          <w:kern w:val="0"/>
          <w:sz w:val="22"/>
        </w:rPr>
        <w:t>）提供</w:t>
      </w:r>
      <w:r>
        <w:rPr>
          <w:rFonts w:ascii="仿宋" w:eastAsia="仿宋" w:hAnsi="仿宋"/>
          <w:kern w:val="0"/>
          <w:sz w:val="22"/>
        </w:rPr>
        <w:t>7*24</w:t>
      </w:r>
      <w:r>
        <w:rPr>
          <w:rFonts w:ascii="仿宋" w:eastAsia="仿宋" w:hAnsi="仿宋" w:hint="eastAsia"/>
          <w:kern w:val="0"/>
          <w:sz w:val="22"/>
        </w:rPr>
        <w:t>小时专线电话服务</w:t>
      </w:r>
    </w:p>
    <w:p w:rsidR="003C40D3" w:rsidRDefault="003C40D3" w:rsidP="003C40D3">
      <w:pPr>
        <w:autoSpaceDE w:val="0"/>
        <w:autoSpaceDN w:val="0"/>
        <w:adjustRightInd w:val="0"/>
        <w:spacing w:line="314" w:lineRule="auto"/>
        <w:ind w:right="509" w:firstLineChars="100" w:firstLine="210"/>
        <w:jc w:val="left"/>
        <w:rPr>
          <w:rFonts w:ascii="仿宋" w:eastAsia="仿宋" w:hAnsi="仿宋" w:cs="宋体"/>
          <w:kern w:val="0"/>
          <w:szCs w:val="21"/>
        </w:rPr>
      </w:pPr>
      <w:r>
        <w:rPr>
          <w:rFonts w:ascii="仿宋" w:eastAsia="仿宋" w:hAnsi="仿宋" w:cs="宋体" w:hint="eastAsia"/>
          <w:kern w:val="0"/>
          <w:szCs w:val="21"/>
        </w:rPr>
        <w:t>2、</w:t>
      </w:r>
      <w:r>
        <w:rPr>
          <w:rFonts w:ascii="仿宋" w:eastAsia="仿宋" w:hAnsi="仿宋" w:cs="宋体" w:hint="eastAsia"/>
          <w:spacing w:val="-2"/>
          <w:kern w:val="0"/>
          <w:szCs w:val="21"/>
        </w:rPr>
        <w:t>技</w:t>
      </w:r>
      <w:r>
        <w:rPr>
          <w:rFonts w:ascii="仿宋" w:eastAsia="仿宋" w:hAnsi="仿宋" w:cs="宋体" w:hint="eastAsia"/>
          <w:kern w:val="0"/>
          <w:szCs w:val="21"/>
        </w:rPr>
        <w:t>术</w:t>
      </w:r>
      <w:r>
        <w:rPr>
          <w:rFonts w:ascii="仿宋" w:eastAsia="仿宋" w:hAnsi="仿宋" w:cs="宋体" w:hint="eastAsia"/>
          <w:spacing w:val="-2"/>
          <w:kern w:val="0"/>
          <w:szCs w:val="21"/>
        </w:rPr>
        <w:t>培</w:t>
      </w:r>
      <w:r>
        <w:rPr>
          <w:rFonts w:ascii="仿宋" w:eastAsia="仿宋" w:hAnsi="仿宋" w:cs="宋体" w:hint="eastAsia"/>
          <w:kern w:val="0"/>
          <w:szCs w:val="21"/>
        </w:rPr>
        <w:t>训投标</w:t>
      </w:r>
      <w:r>
        <w:rPr>
          <w:rFonts w:ascii="仿宋" w:eastAsia="仿宋" w:hAnsi="仿宋" w:cs="宋体" w:hint="eastAsia"/>
          <w:spacing w:val="-2"/>
          <w:kern w:val="0"/>
          <w:szCs w:val="21"/>
        </w:rPr>
        <w:t>人</w:t>
      </w:r>
      <w:r>
        <w:rPr>
          <w:rFonts w:ascii="仿宋" w:eastAsia="仿宋" w:hAnsi="仿宋" w:cs="宋体" w:hint="eastAsia"/>
          <w:kern w:val="0"/>
          <w:szCs w:val="21"/>
        </w:rPr>
        <w:t>应</w:t>
      </w:r>
      <w:r>
        <w:rPr>
          <w:rFonts w:ascii="仿宋" w:eastAsia="仿宋" w:hAnsi="仿宋" w:cs="宋体" w:hint="eastAsia"/>
          <w:spacing w:val="-2"/>
          <w:kern w:val="0"/>
          <w:szCs w:val="21"/>
        </w:rPr>
        <w:t>免</w:t>
      </w:r>
      <w:r>
        <w:rPr>
          <w:rFonts w:ascii="仿宋" w:eastAsia="仿宋" w:hAnsi="仿宋" w:cs="宋体" w:hint="eastAsia"/>
          <w:kern w:val="0"/>
          <w:szCs w:val="21"/>
        </w:rPr>
        <w:t>费</w:t>
      </w:r>
      <w:r>
        <w:rPr>
          <w:rFonts w:ascii="仿宋" w:eastAsia="仿宋" w:hAnsi="仿宋" w:cs="宋体" w:hint="eastAsia"/>
          <w:spacing w:val="-2"/>
          <w:kern w:val="0"/>
          <w:szCs w:val="21"/>
        </w:rPr>
        <w:t>为</w:t>
      </w:r>
      <w:r>
        <w:rPr>
          <w:rFonts w:ascii="仿宋" w:eastAsia="仿宋" w:hAnsi="仿宋" w:cs="宋体" w:hint="eastAsia"/>
          <w:kern w:val="0"/>
          <w:szCs w:val="21"/>
        </w:rPr>
        <w:t>河</w:t>
      </w:r>
      <w:r>
        <w:rPr>
          <w:rFonts w:ascii="仿宋" w:eastAsia="仿宋" w:hAnsi="仿宋" w:cs="宋体" w:hint="eastAsia"/>
          <w:spacing w:val="-2"/>
          <w:kern w:val="0"/>
          <w:szCs w:val="21"/>
        </w:rPr>
        <w:t>南</w:t>
      </w:r>
      <w:r>
        <w:rPr>
          <w:rFonts w:ascii="仿宋" w:eastAsia="仿宋" w:hAnsi="仿宋" w:cs="宋体" w:hint="eastAsia"/>
          <w:kern w:val="0"/>
          <w:szCs w:val="21"/>
        </w:rPr>
        <w:t>省</w:t>
      </w:r>
      <w:r>
        <w:rPr>
          <w:rFonts w:ascii="仿宋" w:eastAsia="仿宋" w:hAnsi="仿宋" w:cs="宋体" w:hint="eastAsia"/>
          <w:spacing w:val="-2"/>
          <w:kern w:val="0"/>
          <w:szCs w:val="21"/>
        </w:rPr>
        <w:t>人</w:t>
      </w:r>
      <w:r>
        <w:rPr>
          <w:rFonts w:ascii="仿宋" w:eastAsia="仿宋" w:hAnsi="仿宋" w:cs="宋体" w:hint="eastAsia"/>
          <w:kern w:val="0"/>
          <w:szCs w:val="21"/>
        </w:rPr>
        <w:t>民检</w:t>
      </w:r>
      <w:r>
        <w:rPr>
          <w:rFonts w:ascii="仿宋" w:eastAsia="仿宋" w:hAnsi="仿宋" w:cs="宋体" w:hint="eastAsia"/>
          <w:spacing w:val="-2"/>
          <w:kern w:val="0"/>
          <w:szCs w:val="21"/>
        </w:rPr>
        <w:t>察</w:t>
      </w:r>
      <w:r>
        <w:rPr>
          <w:rFonts w:ascii="仿宋" w:eastAsia="仿宋" w:hAnsi="仿宋" w:cs="宋体" w:hint="eastAsia"/>
          <w:kern w:val="0"/>
          <w:szCs w:val="21"/>
        </w:rPr>
        <w:t>院</w:t>
      </w:r>
      <w:r>
        <w:rPr>
          <w:rFonts w:ascii="仿宋" w:eastAsia="仿宋" w:hAnsi="仿宋" w:cs="宋体" w:hint="eastAsia"/>
          <w:spacing w:val="-2"/>
          <w:kern w:val="0"/>
          <w:szCs w:val="21"/>
        </w:rPr>
        <w:t>进</w:t>
      </w:r>
      <w:r>
        <w:rPr>
          <w:rFonts w:ascii="仿宋" w:eastAsia="仿宋" w:hAnsi="仿宋" w:cs="宋体" w:hint="eastAsia"/>
          <w:kern w:val="0"/>
          <w:szCs w:val="21"/>
        </w:rPr>
        <w:t>行</w:t>
      </w:r>
      <w:r>
        <w:rPr>
          <w:rFonts w:ascii="仿宋" w:eastAsia="仿宋" w:hAnsi="仿宋" w:cs="宋体" w:hint="eastAsia"/>
          <w:spacing w:val="-2"/>
          <w:kern w:val="0"/>
          <w:szCs w:val="21"/>
        </w:rPr>
        <w:t>系</w:t>
      </w:r>
      <w:r>
        <w:rPr>
          <w:rFonts w:ascii="仿宋" w:eastAsia="仿宋" w:hAnsi="仿宋" w:cs="宋体" w:hint="eastAsia"/>
          <w:kern w:val="0"/>
          <w:szCs w:val="21"/>
        </w:rPr>
        <w:t>统</w:t>
      </w:r>
      <w:r>
        <w:rPr>
          <w:rFonts w:ascii="仿宋" w:eastAsia="仿宋" w:hAnsi="仿宋" w:cs="宋体" w:hint="eastAsia"/>
          <w:spacing w:val="-2"/>
          <w:kern w:val="0"/>
          <w:szCs w:val="21"/>
        </w:rPr>
        <w:t>操</w:t>
      </w:r>
      <w:r>
        <w:rPr>
          <w:rFonts w:ascii="仿宋" w:eastAsia="仿宋" w:hAnsi="仿宋" w:cs="宋体" w:hint="eastAsia"/>
          <w:kern w:val="0"/>
          <w:szCs w:val="21"/>
        </w:rPr>
        <w:t>作</w:t>
      </w:r>
      <w:r>
        <w:rPr>
          <w:rFonts w:ascii="仿宋" w:eastAsia="仿宋" w:hAnsi="仿宋" w:cs="宋体" w:hint="eastAsia"/>
          <w:spacing w:val="-2"/>
          <w:kern w:val="0"/>
          <w:szCs w:val="21"/>
        </w:rPr>
        <w:t>使</w:t>
      </w:r>
      <w:r>
        <w:rPr>
          <w:rFonts w:ascii="仿宋" w:eastAsia="仿宋" w:hAnsi="仿宋" w:cs="宋体" w:hint="eastAsia"/>
          <w:kern w:val="0"/>
          <w:szCs w:val="21"/>
        </w:rPr>
        <w:t>用和</w:t>
      </w:r>
      <w:r>
        <w:rPr>
          <w:rFonts w:ascii="仿宋" w:eastAsia="仿宋" w:hAnsi="仿宋" w:cs="宋体" w:hint="eastAsia"/>
          <w:spacing w:val="-2"/>
          <w:kern w:val="0"/>
          <w:szCs w:val="21"/>
        </w:rPr>
        <w:t>管</w:t>
      </w:r>
      <w:r>
        <w:rPr>
          <w:rFonts w:ascii="仿宋" w:eastAsia="仿宋" w:hAnsi="仿宋" w:cs="宋体" w:hint="eastAsia"/>
          <w:kern w:val="0"/>
          <w:szCs w:val="21"/>
        </w:rPr>
        <w:t>理</w:t>
      </w:r>
      <w:r>
        <w:rPr>
          <w:rFonts w:ascii="仿宋" w:eastAsia="仿宋" w:hAnsi="仿宋" w:cs="宋体" w:hint="eastAsia"/>
          <w:spacing w:val="-2"/>
          <w:kern w:val="0"/>
          <w:szCs w:val="21"/>
        </w:rPr>
        <w:t>培</w:t>
      </w:r>
      <w:r>
        <w:rPr>
          <w:rFonts w:ascii="仿宋" w:eastAsia="仿宋" w:hAnsi="仿宋" w:cs="宋体" w:hint="eastAsia"/>
          <w:kern w:val="0"/>
          <w:szCs w:val="21"/>
        </w:rPr>
        <w:t>训</w:t>
      </w:r>
      <w:r>
        <w:rPr>
          <w:rFonts w:ascii="仿宋" w:eastAsia="仿宋" w:hAnsi="仿宋" w:cs="宋体" w:hint="eastAsia"/>
          <w:spacing w:val="-2"/>
          <w:kern w:val="0"/>
          <w:szCs w:val="21"/>
        </w:rPr>
        <w:t>，</w:t>
      </w:r>
      <w:r>
        <w:rPr>
          <w:rFonts w:ascii="仿宋" w:eastAsia="仿宋" w:hAnsi="仿宋" w:cs="宋体" w:hint="eastAsia"/>
          <w:kern w:val="0"/>
          <w:szCs w:val="21"/>
        </w:rPr>
        <w:t>并</w:t>
      </w:r>
      <w:r>
        <w:rPr>
          <w:rFonts w:ascii="仿宋" w:eastAsia="仿宋" w:hAnsi="仿宋" w:cs="宋体" w:hint="eastAsia"/>
          <w:spacing w:val="-2"/>
          <w:kern w:val="0"/>
          <w:szCs w:val="21"/>
        </w:rPr>
        <w:t>确</w:t>
      </w:r>
      <w:r>
        <w:rPr>
          <w:rFonts w:ascii="仿宋" w:eastAsia="仿宋" w:hAnsi="仿宋" w:cs="宋体" w:hint="eastAsia"/>
          <w:kern w:val="0"/>
          <w:szCs w:val="21"/>
        </w:rPr>
        <w:t>保</w:t>
      </w:r>
      <w:r>
        <w:rPr>
          <w:rFonts w:ascii="仿宋" w:eastAsia="仿宋" w:hAnsi="仿宋" w:cs="宋体" w:hint="eastAsia"/>
          <w:spacing w:val="-2"/>
          <w:kern w:val="0"/>
          <w:szCs w:val="21"/>
        </w:rPr>
        <w:t>培</w:t>
      </w:r>
      <w:r>
        <w:rPr>
          <w:rFonts w:ascii="仿宋" w:eastAsia="仿宋" w:hAnsi="仿宋" w:cs="宋体" w:hint="eastAsia"/>
          <w:kern w:val="0"/>
          <w:szCs w:val="21"/>
        </w:rPr>
        <w:t>训效</w:t>
      </w:r>
      <w:r>
        <w:rPr>
          <w:rFonts w:ascii="仿宋" w:eastAsia="仿宋" w:hAnsi="仿宋" w:cs="宋体" w:hint="eastAsia"/>
          <w:spacing w:val="-2"/>
          <w:kern w:val="0"/>
          <w:szCs w:val="21"/>
        </w:rPr>
        <w:t>果</w:t>
      </w:r>
      <w:r>
        <w:rPr>
          <w:rFonts w:ascii="仿宋" w:eastAsia="仿宋" w:hAnsi="仿宋" w:cs="宋体" w:hint="eastAsia"/>
          <w:kern w:val="0"/>
          <w:szCs w:val="21"/>
        </w:rPr>
        <w:t>。</w:t>
      </w:r>
    </w:p>
    <w:p w:rsidR="003C40D3" w:rsidRPr="00B810ED" w:rsidRDefault="003C40D3" w:rsidP="003C40D3">
      <w:pPr>
        <w:widowControl/>
        <w:jc w:val="center"/>
        <w:rPr>
          <w:rFonts w:ascii="仿宋" w:eastAsia="仿宋" w:hAnsi="仿宋" w:hint="eastAsia"/>
          <w:b/>
          <w:sz w:val="24"/>
        </w:rPr>
      </w:pPr>
    </w:p>
    <w:p w:rsidR="005F0EBC" w:rsidRPr="003C40D3" w:rsidRDefault="005F0EBC"/>
    <w:sectPr w:rsidR="005F0EBC" w:rsidRPr="003C40D3" w:rsidSect="00CB492A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EBC" w:rsidRDefault="005F0EBC" w:rsidP="003C40D3">
      <w:r>
        <w:separator/>
      </w:r>
    </w:p>
  </w:endnote>
  <w:endnote w:type="continuationSeparator" w:id="1">
    <w:p w:rsidR="005F0EBC" w:rsidRDefault="005F0EBC" w:rsidP="003C4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EBC" w:rsidRDefault="005F0EBC" w:rsidP="003C40D3">
      <w:r>
        <w:separator/>
      </w:r>
    </w:p>
  </w:footnote>
  <w:footnote w:type="continuationSeparator" w:id="1">
    <w:p w:rsidR="005F0EBC" w:rsidRDefault="005F0EBC" w:rsidP="003C40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40D3"/>
    <w:rsid w:val="003C40D3"/>
    <w:rsid w:val="005F0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D3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0"/>
    <w:link w:val="2Char"/>
    <w:qFormat/>
    <w:rsid w:val="003C40D3"/>
    <w:pPr>
      <w:keepNext/>
      <w:keepLines/>
      <w:autoSpaceDE w:val="0"/>
      <w:autoSpaceDN w:val="0"/>
      <w:adjustRightInd w:val="0"/>
      <w:spacing w:before="120" w:line="300" w:lineRule="auto"/>
      <w:jc w:val="center"/>
      <w:outlineLvl w:val="1"/>
    </w:pPr>
    <w:rPr>
      <w:rFonts w:ascii="Arial" w:eastAsia="黑体" w:hAnsi="Arial"/>
      <w:b/>
      <w:kern w:val="0"/>
      <w:sz w:val="3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3C40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3C40D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C40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3C40D3"/>
    <w:rPr>
      <w:sz w:val="18"/>
      <w:szCs w:val="18"/>
    </w:rPr>
  </w:style>
  <w:style w:type="character" w:customStyle="1" w:styleId="2Char">
    <w:name w:val="标题 2 Char"/>
    <w:basedOn w:val="a1"/>
    <w:link w:val="2"/>
    <w:rsid w:val="003C40D3"/>
    <w:rPr>
      <w:rFonts w:ascii="Arial" w:eastAsia="黑体" w:hAnsi="Arial" w:cs="Times New Roman"/>
      <w:b/>
      <w:kern w:val="0"/>
      <w:sz w:val="30"/>
      <w:szCs w:val="20"/>
    </w:rPr>
  </w:style>
  <w:style w:type="paragraph" w:styleId="a6">
    <w:name w:val="Normal (Web)"/>
    <w:basedOn w:val="a"/>
    <w:uiPriority w:val="99"/>
    <w:unhideWhenUsed/>
    <w:qFormat/>
    <w:rsid w:val="003C40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0">
    <w:name w:val="Normal Indent"/>
    <w:basedOn w:val="a"/>
    <w:uiPriority w:val="99"/>
    <w:semiHidden/>
    <w:unhideWhenUsed/>
    <w:rsid w:val="003C40D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1482</Characters>
  <Application>Microsoft Office Word</Application>
  <DocSecurity>0</DocSecurity>
  <Lines>12</Lines>
  <Paragraphs>3</Paragraphs>
  <ScaleCrop>false</ScaleCrop>
  <Company>Lenovo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2020-06-11T08:43:00Z</dcterms:created>
  <dcterms:modified xsi:type="dcterms:W3CDTF">2020-06-11T08:43:00Z</dcterms:modified>
</cp:coreProperties>
</file>