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cs="宋体" w:asciiTheme="majorEastAsia" w:hAnsiTheme="majorEastAsia" w:eastAsiaTheme="majorEastAsia"/>
          <w:b/>
          <w:color w:val="auto"/>
          <w:kern w:val="0"/>
          <w:sz w:val="36"/>
          <w:szCs w:val="36"/>
          <w:highlight w:val="none"/>
        </w:rPr>
      </w:pPr>
      <w:bookmarkStart w:id="0" w:name="_Toc18388"/>
      <w:bookmarkStart w:id="1" w:name="_Toc16959"/>
      <w:r>
        <w:rPr>
          <w:rFonts w:hint="eastAsia" w:cs="宋体" w:asciiTheme="majorEastAsia" w:hAnsiTheme="majorEastAsia" w:eastAsiaTheme="majorEastAsia"/>
          <w:b/>
          <w:color w:val="auto"/>
          <w:kern w:val="0"/>
          <w:sz w:val="36"/>
          <w:szCs w:val="36"/>
          <w:highlight w:val="none"/>
        </w:rPr>
        <w:t>项目需求及其他要求</w:t>
      </w:r>
      <w:bookmarkEnd w:id="0"/>
      <w:bookmarkEnd w:id="1"/>
    </w:p>
    <w:p>
      <w:pPr>
        <w:outlineLvl w:val="1"/>
        <w:rPr>
          <w:rFonts w:ascii="仿宋" w:hAnsi="仿宋" w:eastAsia="仿宋" w:cs="宋体"/>
          <w:b/>
          <w:color w:val="auto"/>
          <w:kern w:val="0"/>
          <w:sz w:val="28"/>
          <w:szCs w:val="28"/>
          <w:highlight w:val="none"/>
        </w:rPr>
      </w:pPr>
      <w:bookmarkStart w:id="2" w:name="_Toc23730"/>
      <w:bookmarkStart w:id="3" w:name="_Toc26114"/>
      <w:r>
        <w:rPr>
          <w:rFonts w:hint="eastAsia" w:ascii="宋体" w:hAnsi="宋体"/>
          <w:b/>
          <w:color w:val="auto"/>
          <w:sz w:val="32"/>
          <w:szCs w:val="32"/>
          <w:highlight w:val="none"/>
        </w:rPr>
        <w:t>一、</w:t>
      </w:r>
      <w:r>
        <w:rPr>
          <w:rFonts w:hint="eastAsia" w:ascii="仿宋" w:hAnsi="仿宋" w:eastAsia="仿宋" w:cs="仿宋"/>
          <w:b/>
          <w:bCs/>
          <w:color w:val="auto"/>
          <w:sz w:val="30"/>
          <w:szCs w:val="30"/>
        </w:rPr>
        <w:t>采购清单、数量、规格及技</w:t>
      </w:r>
      <w:bookmarkStart w:id="6" w:name="_GoBack"/>
      <w:bookmarkEnd w:id="6"/>
      <w:r>
        <w:rPr>
          <w:rFonts w:hint="eastAsia" w:ascii="仿宋" w:hAnsi="仿宋" w:eastAsia="仿宋" w:cs="仿宋"/>
          <w:b/>
          <w:bCs/>
          <w:color w:val="auto"/>
          <w:sz w:val="30"/>
          <w:szCs w:val="30"/>
        </w:rPr>
        <w:t>术参数</w:t>
      </w:r>
      <w:bookmarkEnd w:id="2"/>
      <w:bookmarkEnd w:id="3"/>
    </w:p>
    <w:tbl>
      <w:tblPr>
        <w:tblStyle w:val="12"/>
        <w:tblW w:w="10366" w:type="dxa"/>
        <w:jc w:val="center"/>
        <w:shd w:val="clear" w:color="auto" w:fill="auto"/>
        <w:tblLayout w:type="autofit"/>
        <w:tblCellMar>
          <w:top w:w="0" w:type="dxa"/>
          <w:left w:w="0" w:type="dxa"/>
          <w:bottom w:w="0" w:type="dxa"/>
          <w:right w:w="0" w:type="dxa"/>
        </w:tblCellMar>
      </w:tblPr>
      <w:tblGrid>
        <w:gridCol w:w="825"/>
        <w:gridCol w:w="1087"/>
        <w:gridCol w:w="5499"/>
        <w:gridCol w:w="951"/>
        <w:gridCol w:w="1002"/>
        <w:gridCol w:w="1002"/>
      </w:tblGrid>
      <w:tr>
        <w:tblPrEx>
          <w:shd w:val="clear" w:color="auto" w:fill="auto"/>
          <w:tblCellMar>
            <w:top w:w="0" w:type="dxa"/>
            <w:left w:w="0" w:type="dxa"/>
            <w:bottom w:w="0" w:type="dxa"/>
            <w:right w:w="0" w:type="dxa"/>
          </w:tblCellMar>
        </w:tblPrEx>
        <w:trPr>
          <w:trHeight w:val="517" w:hRule="atLeast"/>
          <w:jc w:val="center"/>
        </w:trPr>
        <w:tc>
          <w:tcPr>
            <w:tcW w:w="8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序号</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名称</w:t>
            </w:r>
          </w:p>
        </w:tc>
        <w:tc>
          <w:tcPr>
            <w:tcW w:w="54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规格及技术参数</w:t>
            </w:r>
          </w:p>
        </w:tc>
        <w:tc>
          <w:tcPr>
            <w:tcW w:w="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单位</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数量</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是否为核心产品</w:t>
            </w:r>
          </w:p>
        </w:tc>
      </w:tr>
      <w:tr>
        <w:tblPrEx>
          <w:shd w:val="clear" w:color="auto" w:fill="auto"/>
          <w:tblCellMar>
            <w:top w:w="0" w:type="dxa"/>
            <w:left w:w="0" w:type="dxa"/>
            <w:bottom w:w="0" w:type="dxa"/>
            <w:right w:w="0" w:type="dxa"/>
          </w:tblCellMar>
        </w:tblPrEx>
        <w:trPr>
          <w:trHeight w:val="2097" w:hRule="atLeast"/>
          <w:jc w:val="center"/>
        </w:trPr>
        <w:tc>
          <w:tcPr>
            <w:tcW w:w="8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PAD终端</w:t>
            </w:r>
          </w:p>
        </w:tc>
        <w:tc>
          <w:tcPr>
            <w:tcW w:w="54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CPU核数:八核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运行内存≥4G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存储≥64G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屏幕尺寸≥8英寸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分辨率不低于1920*1200                            主摄不低于800万像素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副摄不低于500万像素</w:t>
            </w:r>
          </w:p>
          <w:p>
            <w:pPr>
              <w:widowControl/>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扩展支持≥128GB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操作系统：Android </w:t>
            </w:r>
          </w:p>
          <w:p>
            <w:pPr>
              <w:widowControl/>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电池容量≥4000mAh</w:t>
            </w:r>
          </w:p>
        </w:tc>
        <w:tc>
          <w:tcPr>
            <w:tcW w:w="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部</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233</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是</w:t>
            </w:r>
          </w:p>
        </w:tc>
      </w:tr>
      <w:tr>
        <w:tblPrEx>
          <w:shd w:val="clear" w:color="auto" w:fill="auto"/>
          <w:tblCellMar>
            <w:top w:w="0" w:type="dxa"/>
            <w:left w:w="0" w:type="dxa"/>
            <w:bottom w:w="0" w:type="dxa"/>
            <w:right w:w="0" w:type="dxa"/>
          </w:tblCellMar>
        </w:tblPrEx>
        <w:trPr>
          <w:trHeight w:val="5100" w:hRule="atLeast"/>
          <w:jc w:val="center"/>
        </w:trPr>
        <w:tc>
          <w:tcPr>
            <w:tcW w:w="8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公网集群对讲系统及运营管理平台</w:t>
            </w:r>
          </w:p>
        </w:tc>
        <w:tc>
          <w:tcPr>
            <w:tcW w:w="54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outlineLvl w:val="9"/>
              <w:rPr>
                <w:rFonts w:hint="eastAsia" w:ascii="宋体" w:hAnsi="宋体" w:eastAsia="宋体" w:cs="宋体"/>
                <w:i w:val="0"/>
                <w:color w:val="auto"/>
                <w:sz w:val="24"/>
                <w:szCs w:val="24"/>
                <w:u w:val="none"/>
              </w:rPr>
            </w:pPr>
            <w:r>
              <w:rPr>
                <w:rStyle w:val="14"/>
                <w:color w:val="auto"/>
                <w:lang w:val="en-US" w:eastAsia="zh-CN" w:bidi="ar"/>
              </w:rPr>
              <w:t>1、一按即通：平台对讲机，呼叫接续快，支持单呼和组呼，实时性强。</w:t>
            </w:r>
            <w:r>
              <w:rPr>
                <w:rStyle w:val="15"/>
                <w:rFonts w:eastAsia="宋体"/>
                <w:color w:val="auto"/>
                <w:lang w:val="en-US" w:eastAsia="zh-CN" w:bidi="ar"/>
              </w:rPr>
              <w:t> </w:t>
            </w:r>
            <w:r>
              <w:rPr>
                <w:rStyle w:val="14"/>
                <w:color w:val="auto"/>
                <w:lang w:val="en-US" w:eastAsia="zh-CN" w:bidi="ar"/>
              </w:rPr>
              <w:t xml:space="preserve"> </w:t>
            </w:r>
            <w:r>
              <w:rPr>
                <w:rStyle w:val="14"/>
                <w:color w:val="auto"/>
                <w:lang w:val="en-US" w:eastAsia="zh-CN" w:bidi="ar"/>
              </w:rPr>
              <w:br w:type="textWrapping"/>
            </w:r>
            <w:r>
              <w:rPr>
                <w:rStyle w:val="14"/>
                <w:color w:val="auto"/>
                <w:lang w:val="en-US" w:eastAsia="zh-CN" w:bidi="ar"/>
              </w:rPr>
              <w:t>2、一呼百应：群组内用户容量大，群组呼叫，适用于现场指挥、现场协调、集群调度等工作场景。</w:t>
            </w:r>
            <w:r>
              <w:rPr>
                <w:rStyle w:val="15"/>
                <w:rFonts w:eastAsia="宋体"/>
                <w:color w:val="auto"/>
                <w:lang w:val="en-US" w:eastAsia="zh-CN" w:bidi="ar"/>
              </w:rPr>
              <w:t> </w:t>
            </w:r>
            <w:r>
              <w:rPr>
                <w:rStyle w:val="14"/>
                <w:color w:val="auto"/>
                <w:lang w:val="en-US" w:eastAsia="zh-CN" w:bidi="ar"/>
              </w:rPr>
              <w:t xml:space="preserve"> </w:t>
            </w:r>
            <w:r>
              <w:rPr>
                <w:rStyle w:val="14"/>
                <w:color w:val="auto"/>
                <w:lang w:val="en-US" w:eastAsia="zh-CN" w:bidi="ar"/>
              </w:rPr>
              <w:br w:type="textWrapping"/>
            </w:r>
            <w:r>
              <w:rPr>
                <w:rStyle w:val="14"/>
                <w:color w:val="auto"/>
                <w:lang w:val="en-US" w:eastAsia="zh-CN" w:bidi="ar"/>
              </w:rPr>
              <w:t>3、超强覆盖：不受地域、距离限制，可实现远程的实时调度。</w:t>
            </w:r>
            <w:r>
              <w:rPr>
                <w:rStyle w:val="15"/>
                <w:rFonts w:eastAsia="宋体"/>
                <w:color w:val="auto"/>
                <w:lang w:val="en-US" w:eastAsia="zh-CN" w:bidi="ar"/>
              </w:rPr>
              <w:t> </w:t>
            </w:r>
            <w:r>
              <w:rPr>
                <w:rStyle w:val="14"/>
                <w:color w:val="auto"/>
                <w:lang w:val="en-US" w:eastAsia="zh-CN" w:bidi="ar"/>
              </w:rPr>
              <w:t xml:space="preserve"> </w:t>
            </w:r>
            <w:r>
              <w:rPr>
                <w:rStyle w:val="14"/>
                <w:color w:val="auto"/>
                <w:lang w:val="en-US" w:eastAsia="zh-CN" w:bidi="ar"/>
              </w:rPr>
              <w:br w:type="textWrapping"/>
            </w:r>
            <w:r>
              <w:rPr>
                <w:rStyle w:val="14"/>
                <w:color w:val="auto"/>
                <w:lang w:val="en-US" w:eastAsia="zh-CN" w:bidi="ar"/>
              </w:rPr>
              <w:t>4、专业调度：平台多功能调度台，能满足集团客户日常工作中调度指挥的专业要求。</w:t>
            </w:r>
            <w:r>
              <w:rPr>
                <w:rStyle w:val="15"/>
                <w:rFonts w:eastAsia="宋体"/>
                <w:color w:val="auto"/>
                <w:lang w:val="en-US" w:eastAsia="zh-CN" w:bidi="ar"/>
              </w:rPr>
              <w:t> </w:t>
            </w:r>
            <w:r>
              <w:rPr>
                <w:rStyle w:val="14"/>
                <w:color w:val="auto"/>
                <w:lang w:val="en-US" w:eastAsia="zh-CN" w:bidi="ar"/>
              </w:rPr>
              <w:t xml:space="preserve"> </w:t>
            </w:r>
            <w:r>
              <w:rPr>
                <w:rStyle w:val="14"/>
                <w:color w:val="auto"/>
                <w:lang w:val="en-US" w:eastAsia="zh-CN" w:bidi="ar"/>
              </w:rPr>
              <w:br w:type="textWrapping"/>
            </w:r>
            <w:r>
              <w:rPr>
                <w:rStyle w:val="14"/>
                <w:color w:val="auto"/>
                <w:lang w:val="en-US" w:eastAsia="zh-CN" w:bidi="ar"/>
              </w:rPr>
              <w:t>5、分级管理：设有运营商和企业级别管理平台，便于实际当中操作与管理。</w:t>
            </w:r>
            <w:r>
              <w:rPr>
                <w:rStyle w:val="14"/>
                <w:color w:val="auto"/>
                <w:lang w:val="en-US" w:eastAsia="zh-CN" w:bidi="ar"/>
              </w:rPr>
              <w:br w:type="textWrapping"/>
            </w:r>
            <w:r>
              <w:rPr>
                <w:rStyle w:val="14"/>
                <w:color w:val="auto"/>
                <w:lang w:val="en-US" w:eastAsia="zh-CN" w:bidi="ar"/>
              </w:rPr>
              <w:t>6、发言管理：实现分权限强行插入发言，先下达紧急指令。</w:t>
            </w:r>
            <w:r>
              <w:rPr>
                <w:rStyle w:val="15"/>
                <w:rFonts w:eastAsia="宋体"/>
                <w:color w:val="auto"/>
                <w:lang w:val="en-US" w:eastAsia="zh-CN" w:bidi="ar"/>
              </w:rPr>
              <w:t> </w:t>
            </w:r>
            <w:r>
              <w:rPr>
                <w:rStyle w:val="14"/>
                <w:color w:val="auto"/>
                <w:lang w:val="en-US" w:eastAsia="zh-CN" w:bidi="ar"/>
              </w:rPr>
              <w:br w:type="textWrapping"/>
            </w:r>
            <w:r>
              <w:rPr>
                <w:rStyle w:val="14"/>
                <w:color w:val="auto"/>
                <w:lang w:val="en-US" w:eastAsia="zh-CN" w:bidi="ar"/>
              </w:rPr>
              <w:t>7、组网简单：跨网络，中国移动、联通、电信通信网络完美支持；</w:t>
            </w:r>
            <w:r>
              <w:rPr>
                <w:rStyle w:val="15"/>
                <w:rFonts w:eastAsia="宋体"/>
                <w:color w:val="auto"/>
                <w:lang w:val="en-US" w:eastAsia="zh-CN" w:bidi="ar"/>
              </w:rPr>
              <w:t> </w:t>
            </w:r>
            <w:r>
              <w:rPr>
                <w:rStyle w:val="14"/>
                <w:color w:val="auto"/>
                <w:lang w:val="en-US" w:eastAsia="zh-CN" w:bidi="ar"/>
              </w:rPr>
              <w:br w:type="textWrapping"/>
            </w:r>
            <w:r>
              <w:rPr>
                <w:rStyle w:val="14"/>
                <w:color w:val="auto"/>
                <w:lang w:val="en-US" w:eastAsia="zh-CN" w:bidi="ar"/>
              </w:rPr>
              <w:t>8、互联互通：通过安装组侧实现集群系统互联互通。</w:t>
            </w:r>
            <w:r>
              <w:rPr>
                <w:rStyle w:val="14"/>
                <w:color w:val="auto"/>
                <w:lang w:val="en-US" w:eastAsia="zh-CN" w:bidi="ar"/>
              </w:rPr>
              <w:br w:type="textWrapping"/>
            </w:r>
            <w:r>
              <w:rPr>
                <w:rStyle w:val="14"/>
                <w:color w:val="auto"/>
                <w:lang w:val="en-US" w:eastAsia="zh-CN" w:bidi="ar"/>
              </w:rPr>
              <w:t>9、强安全性：多重加密，确保数据万无一失。</w:t>
            </w:r>
          </w:p>
        </w:tc>
        <w:tc>
          <w:tcPr>
            <w:tcW w:w="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是</w:t>
            </w:r>
          </w:p>
        </w:tc>
      </w:tr>
    </w:tbl>
    <w:p>
      <w:pPr>
        <w:widowControl/>
        <w:shd w:val="clear" w:color="auto" w:fill="FFFFFF"/>
        <w:spacing w:line="360" w:lineRule="auto"/>
        <w:jc w:val="left"/>
        <w:outlineLvl w:val="9"/>
        <w:rPr>
          <w:rFonts w:hint="eastAsia" w:ascii="仿宋" w:hAnsi="仿宋" w:eastAsia="仿宋" w:cs="宋体"/>
          <w:b/>
          <w:color w:val="auto"/>
          <w:kern w:val="0"/>
          <w:sz w:val="28"/>
          <w:szCs w:val="28"/>
          <w:highlight w:val="none"/>
        </w:rPr>
      </w:pPr>
    </w:p>
    <w:p>
      <w:pPr>
        <w:widowControl/>
        <w:shd w:val="clear" w:color="auto" w:fill="FFFFFF"/>
        <w:spacing w:line="360" w:lineRule="auto"/>
        <w:jc w:val="left"/>
        <w:outlineLvl w:val="1"/>
        <w:rPr>
          <w:rFonts w:ascii="宋体" w:hAnsi="宋体" w:cs="仿宋_GB2312"/>
          <w:b/>
          <w:color w:val="auto"/>
          <w:sz w:val="24"/>
          <w:highlight w:val="none"/>
          <w:lang w:val="zh-CN"/>
        </w:rPr>
      </w:pPr>
      <w:bookmarkStart w:id="4" w:name="_Toc15477"/>
      <w:bookmarkStart w:id="5" w:name="_Toc9766"/>
      <w:r>
        <w:rPr>
          <w:rFonts w:hint="eastAsia" w:ascii="仿宋" w:hAnsi="仿宋" w:eastAsia="仿宋" w:cs="宋体"/>
          <w:b/>
          <w:color w:val="auto"/>
          <w:kern w:val="0"/>
          <w:sz w:val="28"/>
          <w:szCs w:val="28"/>
          <w:highlight w:val="none"/>
        </w:rPr>
        <w:t>二、其他要求：</w:t>
      </w:r>
      <w:bookmarkEnd w:id="4"/>
      <w:bookmarkEnd w:id="5"/>
    </w:p>
    <w:p>
      <w:pPr>
        <w:spacing w:line="360" w:lineRule="auto"/>
        <w:ind w:firstLine="480" w:firstLineChars="200"/>
        <w:contextualSpacing/>
        <w:outlineLvl w:val="9"/>
        <w:rPr>
          <w:rFonts w:ascii="宋体" w:hAnsi="宋体" w:cs="仿宋_GB2312"/>
          <w:bCs/>
          <w:color w:val="auto"/>
          <w:sz w:val="24"/>
          <w:highlight w:val="none"/>
          <w:lang w:val="zh-CN"/>
        </w:rPr>
      </w:pPr>
      <w:r>
        <w:rPr>
          <w:rFonts w:hint="eastAsia" w:ascii="宋体" w:hAnsi="宋体" w:cs="仿宋_GB2312"/>
          <w:bCs/>
          <w:color w:val="auto"/>
          <w:sz w:val="24"/>
          <w:highlight w:val="none"/>
        </w:rPr>
        <w:t>1</w:t>
      </w:r>
      <w:r>
        <w:rPr>
          <w:rFonts w:hint="eastAsia" w:ascii="宋体" w:hAnsi="宋体" w:cs="仿宋_GB2312"/>
          <w:bCs/>
          <w:color w:val="auto"/>
          <w:sz w:val="24"/>
          <w:highlight w:val="none"/>
          <w:lang w:val="zh-CN"/>
        </w:rPr>
        <w:t>、投标人须明确投标产品的厂家、产地、品牌、型号、详细参数，否则为无效投标；</w:t>
      </w:r>
    </w:p>
    <w:p>
      <w:pPr>
        <w:spacing w:line="360" w:lineRule="auto"/>
        <w:ind w:firstLine="480" w:firstLineChars="200"/>
        <w:contextualSpacing/>
        <w:outlineLvl w:val="9"/>
        <w:rPr>
          <w:rFonts w:ascii="宋体" w:hAnsi="宋体" w:cs="仿宋_GB2312"/>
          <w:bCs/>
          <w:color w:val="auto"/>
          <w:sz w:val="24"/>
          <w:highlight w:val="none"/>
          <w:lang w:val="zh-CN"/>
        </w:rPr>
      </w:pPr>
      <w:r>
        <w:rPr>
          <w:rFonts w:hint="eastAsia" w:ascii="宋体" w:hAnsi="宋体" w:cs="仿宋_GB2312"/>
          <w:bCs/>
          <w:color w:val="auto"/>
          <w:sz w:val="24"/>
          <w:highlight w:val="none"/>
        </w:rPr>
        <w:t>2、</w:t>
      </w:r>
      <w:r>
        <w:rPr>
          <w:rFonts w:hint="eastAsia" w:ascii="宋体" w:hAnsi="宋体" w:cs="仿宋_GB2312"/>
          <w:bCs/>
          <w:color w:val="auto"/>
          <w:sz w:val="24"/>
          <w:highlight w:val="none"/>
          <w:lang w:val="zh-CN"/>
        </w:rPr>
        <w:t>投标人应就该项目完整投标，否则为无效投标。</w:t>
      </w:r>
    </w:p>
    <w:p>
      <w:pPr>
        <w:spacing w:line="360" w:lineRule="auto"/>
        <w:ind w:firstLine="480" w:firstLineChars="200"/>
        <w:contextualSpacing/>
        <w:outlineLvl w:val="9"/>
        <w:rPr>
          <w:rFonts w:ascii="宋体" w:hAnsi="宋体" w:cs="仿宋_GB2312"/>
          <w:bCs/>
          <w:color w:val="auto"/>
          <w:sz w:val="24"/>
          <w:highlight w:val="none"/>
          <w:lang w:val="zh-CN"/>
        </w:rPr>
      </w:pPr>
      <w:r>
        <w:rPr>
          <w:rFonts w:hint="eastAsia" w:ascii="宋体" w:hAnsi="宋体" w:cs="仿宋_GB2312"/>
          <w:bCs/>
          <w:color w:val="auto"/>
          <w:sz w:val="24"/>
          <w:highlight w:val="none"/>
        </w:rPr>
        <w:t>3</w:t>
      </w:r>
      <w:r>
        <w:rPr>
          <w:rFonts w:hint="eastAsia" w:ascii="宋体" w:hAnsi="宋体" w:cs="仿宋_GB2312"/>
          <w:bCs/>
          <w:color w:val="auto"/>
          <w:sz w:val="24"/>
          <w:highlight w:val="none"/>
          <w:lang w:val="zh-CN"/>
        </w:rPr>
        <w:t>、本招标文件所列需求为最低要求，投标产品不得低于最低要求，否则为无效投标。</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4</w:t>
      </w:r>
      <w:r>
        <w:rPr>
          <w:rFonts w:hint="eastAsia" w:ascii="宋体" w:hAnsi="宋体" w:cs="仿宋_GB2312"/>
          <w:color w:val="auto"/>
          <w:sz w:val="24"/>
          <w:highlight w:val="none"/>
          <w:lang w:val="zh-CN"/>
        </w:rPr>
        <w:t>、履约时间 ：自合同生效之日起</w:t>
      </w:r>
      <w:r>
        <w:rPr>
          <w:rFonts w:hint="eastAsia" w:ascii="宋体" w:hAnsi="宋体" w:cs="仿宋_GB2312"/>
          <w:color w:val="auto"/>
          <w:sz w:val="24"/>
          <w:highlight w:val="none"/>
          <w:lang w:val="en-US" w:eastAsia="zh-CN"/>
        </w:rPr>
        <w:t>5</w:t>
      </w:r>
      <w:r>
        <w:rPr>
          <w:rFonts w:hint="eastAsia" w:ascii="宋体" w:hAnsi="宋体" w:cs="仿宋_GB2312"/>
          <w:color w:val="auto"/>
          <w:sz w:val="24"/>
          <w:highlight w:val="none"/>
          <w:lang w:val="zh-CN"/>
        </w:rPr>
        <w:t>个日历天、完成安装调试并具备验收条件。</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5</w:t>
      </w:r>
      <w:r>
        <w:rPr>
          <w:rFonts w:hint="eastAsia" w:ascii="宋体" w:hAnsi="宋体" w:cs="仿宋_GB2312"/>
          <w:color w:val="auto"/>
          <w:sz w:val="24"/>
          <w:highlight w:val="none"/>
          <w:lang w:val="zh-CN"/>
        </w:rPr>
        <w:t>、最高限价：</w:t>
      </w:r>
      <w:r>
        <w:rPr>
          <w:rFonts w:hint="eastAsia" w:ascii="宋体" w:hAnsi="宋体" w:cs="仿宋_GB2312"/>
          <w:color w:val="auto"/>
          <w:sz w:val="24"/>
          <w:highlight w:val="none"/>
          <w:lang w:eastAsia="zh-CN"/>
        </w:rPr>
        <w:t>415905元</w:t>
      </w:r>
      <w:r>
        <w:rPr>
          <w:rFonts w:hint="eastAsia" w:ascii="宋体" w:hAnsi="宋体" w:cs="仿宋_GB2312"/>
          <w:color w:val="auto"/>
          <w:sz w:val="24"/>
          <w:highlight w:val="none"/>
          <w:lang w:val="zh-CN"/>
        </w:rPr>
        <w:t>，超出者为无效投标。</w:t>
      </w:r>
    </w:p>
    <w:p>
      <w:pPr>
        <w:spacing w:line="360" w:lineRule="auto"/>
        <w:ind w:firstLine="480" w:firstLineChars="200"/>
        <w:contextualSpacing/>
        <w:outlineLvl w:val="9"/>
        <w:rPr>
          <w:rFonts w:hint="eastAsia" w:ascii="宋体" w:hAnsi="宋体" w:cs="仿宋_GB2312"/>
          <w:color w:val="auto"/>
          <w:sz w:val="24"/>
          <w:highlight w:val="none"/>
          <w:lang w:val="zh-CN"/>
        </w:rPr>
      </w:pPr>
      <w:r>
        <w:rPr>
          <w:rFonts w:hint="eastAsia" w:ascii="宋体" w:hAnsi="宋体" w:cs="仿宋_GB2312"/>
          <w:color w:val="auto"/>
          <w:sz w:val="24"/>
          <w:highlight w:val="none"/>
        </w:rPr>
        <w:t>6</w:t>
      </w:r>
      <w:r>
        <w:rPr>
          <w:rFonts w:hint="eastAsia" w:ascii="宋体" w:hAnsi="宋体" w:cs="仿宋_GB2312"/>
          <w:color w:val="auto"/>
          <w:sz w:val="24"/>
          <w:highlight w:val="none"/>
          <w:lang w:val="zh-CN"/>
        </w:rPr>
        <w:t>、</w:t>
      </w:r>
      <w:r>
        <w:rPr>
          <w:rFonts w:hint="eastAsia" w:ascii="宋体" w:hAnsi="宋体" w:cs="仿宋_GB2312"/>
          <w:color w:val="auto"/>
          <w:sz w:val="24"/>
          <w:highlight w:val="none"/>
          <w:lang w:val="zh-CN" w:eastAsia="zh-CN"/>
        </w:rPr>
        <w:t>质保期</w:t>
      </w:r>
      <w:r>
        <w:rPr>
          <w:rFonts w:hint="eastAsia" w:ascii="宋体" w:hAnsi="宋体" w:cs="仿宋_GB2312"/>
          <w:color w:val="auto"/>
          <w:sz w:val="24"/>
          <w:highlight w:val="none"/>
          <w:lang w:val="zh-CN"/>
        </w:rPr>
        <w:t>：</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lang w:val="zh-CN"/>
        </w:rPr>
        <w:t>年。</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lang w:val="en-US" w:eastAsia="zh-CN"/>
        </w:rPr>
        <w:t>7、</w:t>
      </w:r>
      <w:r>
        <w:rPr>
          <w:rFonts w:hint="eastAsia" w:ascii="宋体" w:hAnsi="宋体" w:cs="仿宋_GB2312"/>
          <w:color w:val="auto"/>
          <w:sz w:val="24"/>
          <w:highlight w:val="none"/>
          <w:lang w:val="zh-CN"/>
        </w:rPr>
        <w:t>投标人所投产品若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lang w:val="en-US" w:eastAsia="zh-CN"/>
        </w:rPr>
        <w:t>8</w:t>
      </w:r>
      <w:r>
        <w:rPr>
          <w:rFonts w:hint="eastAsia" w:ascii="宋体" w:hAnsi="宋体" w:cs="仿宋_GB2312"/>
          <w:color w:val="auto"/>
          <w:sz w:val="24"/>
          <w:highlight w:val="none"/>
        </w:rPr>
        <w:t>、</w:t>
      </w:r>
      <w:r>
        <w:rPr>
          <w:rFonts w:hint="eastAsia" w:ascii="宋体" w:hAnsi="宋体" w:cs="仿宋_GB2312"/>
          <w:color w:val="auto"/>
          <w:sz w:val="24"/>
          <w:highlight w:val="none"/>
          <w:lang w:val="zh-CN"/>
        </w:rPr>
        <w:t>专利权：投标人应保证用户在使用该货物或其任何一部分时不受第三方提出侵犯其专利权、商标权和工业设计权等的起诉。(须提供加盖公章的承诺函)</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lang w:val="en-US" w:eastAsia="zh-CN"/>
        </w:rPr>
        <w:t>9</w:t>
      </w:r>
      <w:r>
        <w:rPr>
          <w:rFonts w:hint="eastAsia" w:ascii="宋体" w:hAnsi="宋体" w:cs="仿宋_GB2312"/>
          <w:color w:val="auto"/>
          <w:sz w:val="24"/>
          <w:highlight w:val="none"/>
          <w:lang w:val="zh-CN"/>
        </w:rPr>
        <w:t>、投标人须提供售后服务承诺书（须明确保证产品质量、并承诺承担因产品质量不合格造成的损失。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lang w:val="en-US" w:eastAsia="zh-CN"/>
        </w:rPr>
        <w:t>10</w:t>
      </w:r>
      <w:r>
        <w:rPr>
          <w:rFonts w:hint="eastAsia" w:ascii="宋体" w:hAnsi="宋体" w:cs="仿宋_GB2312"/>
          <w:color w:val="auto"/>
          <w:sz w:val="24"/>
          <w:highlight w:val="none"/>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lang w:val="zh-CN"/>
        </w:rPr>
        <w:t>、验收标准</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w:t>
      </w:r>
      <w:r>
        <w:rPr>
          <w:rFonts w:hint="eastAsia" w:ascii="宋体" w:hAnsi="宋体" w:cs="仿宋_GB2312"/>
          <w:color w:val="auto"/>
          <w:sz w:val="24"/>
          <w:highlight w:val="none"/>
          <w:lang w:val="zh-CN"/>
        </w:rPr>
        <w:t>1、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w:t>
      </w:r>
      <w:r>
        <w:rPr>
          <w:rFonts w:hint="eastAsia" w:ascii="宋体" w:hAnsi="宋体" w:cs="仿宋_GB2312"/>
          <w:color w:val="auto"/>
          <w:sz w:val="24"/>
          <w:highlight w:val="none"/>
          <w:lang w:val="zh-CN"/>
        </w:rPr>
        <w:t>2、按照国家相关标准、行业标准、地方标准或者其他标准、规范验收。</w:t>
      </w:r>
    </w:p>
    <w:p>
      <w:pPr>
        <w:spacing w:line="360" w:lineRule="auto"/>
        <w:ind w:firstLine="480" w:firstLineChars="200"/>
        <w:contextualSpacing/>
        <w:outlineLvl w:val="9"/>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w:t>
      </w:r>
      <w:r>
        <w:rPr>
          <w:rFonts w:hint="eastAsia" w:ascii="宋体" w:hAnsi="宋体" w:cs="仿宋_GB2312"/>
          <w:color w:val="auto"/>
          <w:sz w:val="24"/>
          <w:highlight w:val="none"/>
          <w:lang w:val="zh-CN"/>
        </w:rPr>
        <w:t>3、按照招标文件要求、投标文件响应和承诺验收。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811056437"/>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10"/>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sdt>
                    <w:sdtPr>
                      <w:id w:val="1811056437"/>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10"/>
                    </w:pP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85CA7"/>
    <w:rsid w:val="090637BB"/>
    <w:rsid w:val="09AF7457"/>
    <w:rsid w:val="140B00BB"/>
    <w:rsid w:val="18D80733"/>
    <w:rsid w:val="1F6A3A97"/>
    <w:rsid w:val="25C33B0D"/>
    <w:rsid w:val="2F7F0108"/>
    <w:rsid w:val="33027DBA"/>
    <w:rsid w:val="357332DD"/>
    <w:rsid w:val="39FB1722"/>
    <w:rsid w:val="3BCC453A"/>
    <w:rsid w:val="44714A24"/>
    <w:rsid w:val="45062FE1"/>
    <w:rsid w:val="451F47FD"/>
    <w:rsid w:val="47FC170E"/>
    <w:rsid w:val="522615AF"/>
    <w:rsid w:val="537955AA"/>
    <w:rsid w:val="5CE46060"/>
    <w:rsid w:val="66BB77D7"/>
    <w:rsid w:val="6BF45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beforeLines="0" w:beforeAutospacing="0" w:afterLines="0" w:afterAutospacing="0" w:line="360" w:lineRule="auto"/>
      <w:jc w:val="left"/>
      <w:outlineLvl w:val="0"/>
    </w:pPr>
    <w:rPr>
      <w:rFonts w:ascii="Calibri" w:hAnsi="Calibri"/>
      <w:b/>
      <w:kern w:val="44"/>
      <w:sz w:val="30"/>
      <w:szCs w:val="22"/>
    </w:rPr>
  </w:style>
  <w:style w:type="paragraph" w:styleId="6">
    <w:name w:val="heading 2"/>
    <w:basedOn w:val="1"/>
    <w:next w:val="1"/>
    <w:semiHidden/>
    <w:unhideWhenUsed/>
    <w:qFormat/>
    <w:uiPriority w:val="0"/>
    <w:pPr>
      <w:keepNext/>
      <w:keepLines/>
      <w:spacing w:beforeLines="0" w:beforeAutospacing="0" w:afterLines="0" w:afterAutospacing="0" w:line="360" w:lineRule="auto"/>
      <w:jc w:val="left"/>
      <w:outlineLvl w:val="1"/>
    </w:pPr>
    <w:rPr>
      <w:rFonts w:ascii="Arial" w:hAnsi="Arial"/>
      <w:b/>
      <w:sz w:val="28"/>
      <w:szCs w:val="22"/>
    </w:rPr>
  </w:style>
  <w:style w:type="paragraph" w:styleId="7">
    <w:name w:val="heading 3"/>
    <w:basedOn w:val="1"/>
    <w:next w:val="1"/>
    <w:semiHidden/>
    <w:unhideWhenUsed/>
    <w:qFormat/>
    <w:uiPriority w:val="0"/>
    <w:pPr>
      <w:keepNext/>
      <w:keepLines/>
      <w:spacing w:beforeLines="0" w:beforeAutospacing="0" w:afterLines="0" w:afterAutospacing="0" w:line="360" w:lineRule="auto"/>
      <w:jc w:val="center"/>
      <w:outlineLvl w:val="2"/>
    </w:pPr>
    <w:rPr>
      <w:rFonts w:ascii="Calibri" w:hAnsi="Calibri" w:eastAsia="宋体"/>
      <w:b/>
      <w:sz w:val="24"/>
      <w:szCs w:val="22"/>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customStyle="1" w:styleId="3">
    <w:name w:val="style4"/>
    <w:basedOn w:val="1"/>
    <w:next w:val="4"/>
    <w:qFormat/>
    <w:uiPriority w:val="0"/>
    <w:pPr>
      <w:widowControl/>
      <w:spacing w:before="280" w:after="280"/>
    </w:pPr>
    <w:rPr>
      <w:sz w:val="18"/>
    </w:rPr>
  </w:style>
  <w:style w:type="paragraph" w:customStyle="1" w:styleId="4">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8">
    <w:name w:val="Body Text Indent"/>
    <w:basedOn w:val="1"/>
    <w:qFormat/>
    <w:uiPriority w:val="0"/>
    <w:pPr>
      <w:spacing w:after="120"/>
      <w:ind w:left="420" w:leftChars="20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Body Text First Indent"/>
    <w:basedOn w:val="2"/>
    <w:next w:val="11"/>
    <w:unhideWhenUsed/>
    <w:qFormat/>
    <w:uiPriority w:val="99"/>
    <w:pPr>
      <w:ind w:firstLine="420" w:firstLineChars="100"/>
    </w:pPr>
  </w:style>
  <w:style w:type="paragraph" w:styleId="11">
    <w:name w:val="Body Text First Indent 2"/>
    <w:basedOn w:val="8"/>
    <w:next w:val="1"/>
    <w:qFormat/>
    <w:uiPriority w:val="0"/>
    <w:pPr>
      <w:ind w:firstLine="420" w:firstLineChars="200"/>
    </w:pPr>
  </w:style>
  <w:style w:type="character" w:customStyle="1" w:styleId="14">
    <w:name w:val="font11"/>
    <w:basedOn w:val="13"/>
    <w:qFormat/>
    <w:uiPriority w:val="0"/>
    <w:rPr>
      <w:rFonts w:hint="eastAsia" w:ascii="宋体" w:hAnsi="宋体" w:eastAsia="宋体" w:cs="宋体"/>
      <w:color w:val="000000"/>
      <w:sz w:val="24"/>
      <w:szCs w:val="24"/>
      <w:u w:val="none"/>
    </w:rPr>
  </w:style>
  <w:style w:type="character" w:customStyle="1" w:styleId="15">
    <w:name w:val="font01"/>
    <w:basedOn w:val="1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2020-04-26T02:58:00Z</dcterms:created>
  <dc:creator>Administrator</dc:creator>
  <cp:lastModifiedBy>李雅洁</cp:lastModifiedBy>
  <dcterms:modified xsi:type="dcterms:W3CDTF">2020-10-14T08:24:07Z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